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5DB07C" w14:textId="77777777" w:rsidR="001805A7" w:rsidRDefault="00CB0A9C">
      <w:pPr>
        <w:spacing w:after="0" w:line="258" w:lineRule="auto"/>
        <w:ind w:left="0" w:right="4454" w:firstLine="0"/>
        <w:rPr>
          <w:b/>
          <w:color w:val="1F4E79"/>
          <w:sz w:val="36"/>
        </w:rPr>
      </w:pPr>
      <w:r>
        <w:rPr>
          <w:b/>
          <w:color w:val="1F4E79"/>
          <w:sz w:val="36"/>
        </w:rPr>
        <w:t>Playbook</w:t>
      </w:r>
      <w:r w:rsidR="004832D2">
        <w:rPr>
          <w:b/>
          <w:color w:val="1F4E79"/>
          <w:sz w:val="36"/>
        </w:rPr>
        <w:t xml:space="preserve"> Guide: </w:t>
      </w:r>
    </w:p>
    <w:p w14:paraId="229EBEAB" w14:textId="2F74B736" w:rsidR="00975E82" w:rsidRPr="001805A7" w:rsidRDefault="00B92A32">
      <w:pPr>
        <w:spacing w:after="0" w:line="258" w:lineRule="auto"/>
        <w:ind w:left="0" w:right="4454" w:firstLine="0"/>
        <w:rPr>
          <w:b/>
          <w:color w:val="1F4E79"/>
          <w:sz w:val="36"/>
        </w:rPr>
      </w:pPr>
      <w:r>
        <w:rPr>
          <w:b/>
          <w:color w:val="1F4E79"/>
          <w:sz w:val="36"/>
        </w:rPr>
        <w:t>Phishing</w:t>
      </w:r>
    </w:p>
    <w:p w14:paraId="3F0566DC" w14:textId="5D5AC22F" w:rsidR="00975E82" w:rsidRDefault="00CB0A9C">
      <w:pPr>
        <w:spacing w:after="323"/>
      </w:pPr>
      <w:r>
        <w:fldChar w:fldCharType="begin"/>
      </w:r>
      <w:r>
        <w:instrText xml:space="preserve"> DATE \@ "MMMM d, yyyy" </w:instrText>
      </w:r>
      <w:r>
        <w:fldChar w:fldCharType="separate"/>
      </w:r>
      <w:r w:rsidR="00435FA1">
        <w:rPr>
          <w:noProof/>
        </w:rPr>
        <w:t>August 1, 2018</w:t>
      </w:r>
      <w:r>
        <w:fldChar w:fldCharType="end"/>
      </w:r>
      <w:r>
        <w:t xml:space="preserve"> </w:t>
      </w:r>
      <w:r w:rsidR="004832D2">
        <w:t xml:space="preserve">– Revision A </w:t>
      </w:r>
    </w:p>
    <w:p w14:paraId="4D47E8DD" w14:textId="77777777" w:rsidR="00975E82" w:rsidRDefault="004832D2">
      <w:pPr>
        <w:pStyle w:val="Heading1"/>
        <w:ind w:left="-5"/>
      </w:pPr>
      <w:r>
        <w:t>Introduction</w:t>
      </w:r>
    </w:p>
    <w:p w14:paraId="4461672E" w14:textId="6A2F6996" w:rsidR="00E07E67" w:rsidRDefault="00E07E67">
      <w:pPr>
        <w:spacing w:after="322"/>
      </w:pPr>
      <w:r>
        <w:t xml:space="preserve">LogRhythm </w:t>
      </w:r>
      <w:r w:rsidR="002F152F">
        <w:t xml:space="preserve">Case </w:t>
      </w:r>
      <w:r>
        <w:t xml:space="preserve">Playbooks are designed </w:t>
      </w:r>
      <w:r w:rsidR="002F152F">
        <w:t xml:space="preserve">by </w:t>
      </w:r>
      <w:r w:rsidR="005E42D9">
        <w:t xml:space="preserve">the </w:t>
      </w:r>
      <w:r w:rsidR="002F152F">
        <w:t xml:space="preserve">LogRhythm Threat Research Team to make it easier and </w:t>
      </w:r>
      <w:r w:rsidR="005E42D9">
        <w:t xml:space="preserve">more </w:t>
      </w:r>
      <w:r w:rsidR="002F152F">
        <w:t>repeatable for analysts to respond to incidents. Through the rich feature set of Case Playbooks, analysts can not only create their own playbooks, but modify existing playbooks, as well as attach company policies and procedures in the playbook. All of these features allow the analyst to react faster and more efficiently, decreasing the Mean Time to Detect (MTTD) and Mean Time to Respond (MTTR).</w:t>
      </w:r>
    </w:p>
    <w:p w14:paraId="557C4F34" w14:textId="0F16DEA5" w:rsidR="005E42D9" w:rsidRDefault="005E42D9" w:rsidP="005E42D9">
      <w:pPr>
        <w:spacing w:after="322"/>
      </w:pPr>
      <w:r>
        <w:t xml:space="preserve">This guide describes the </w:t>
      </w:r>
      <w:r w:rsidR="00B92A32">
        <w:t>Phishing</w:t>
      </w:r>
      <w:r>
        <w:t xml:space="preserve"> Playbook, and how to configure the playbook. An Analyst should u</w:t>
      </w:r>
      <w:r w:rsidRPr="00CB0A9C">
        <w:t xml:space="preserve">se this </w:t>
      </w:r>
      <w:r>
        <w:t>p</w:t>
      </w:r>
      <w:r w:rsidRPr="00CB0A9C">
        <w:t xml:space="preserve">laybook when </w:t>
      </w:r>
      <w:r w:rsidR="00B92A32" w:rsidRPr="002768A1">
        <w:t>someone has received a malicious phishing email that contains malicious code, a link to malicious code, or is employing social engineering to obtain user credentials</w:t>
      </w:r>
      <w:r w:rsidRPr="00CB0A9C">
        <w:t>.</w:t>
      </w:r>
    </w:p>
    <w:p w14:paraId="51EA1930" w14:textId="01333023" w:rsidR="00E07E67" w:rsidRDefault="002F152F">
      <w:pPr>
        <w:spacing w:after="322"/>
      </w:pPr>
      <w:r>
        <w:t xml:space="preserve">The </w:t>
      </w:r>
      <w:r w:rsidR="00B92A32">
        <w:t>Phishing</w:t>
      </w:r>
      <w:r w:rsidRPr="002F152F">
        <w:t xml:space="preserve"> </w:t>
      </w:r>
      <w:r>
        <w:t>P</w:t>
      </w:r>
      <w:r w:rsidRPr="002F152F">
        <w:t xml:space="preserve">laybook is built on industry </w:t>
      </w:r>
      <w:r w:rsidR="006F79C5">
        <w:t>recommended</w:t>
      </w:r>
      <w:r w:rsidRPr="002F152F">
        <w:t xml:space="preserve"> practice</w:t>
      </w:r>
      <w:r w:rsidR="006F79C5">
        <w:t>s</w:t>
      </w:r>
      <w:r w:rsidRPr="002F152F">
        <w:t xml:space="preserve"> for identifying </w:t>
      </w:r>
      <w:r w:rsidR="00B92A32">
        <w:t>Phishing incident</w:t>
      </w:r>
      <w:r w:rsidR="004E79A5">
        <w:t>s</w:t>
      </w:r>
      <w:r w:rsidR="005E42D9">
        <w:t>. The Playbook helps an analyst</w:t>
      </w:r>
      <w:r w:rsidRPr="002F152F">
        <w:t xml:space="preserve"> track, </w:t>
      </w:r>
      <w:r w:rsidR="005E42D9">
        <w:t>and c</w:t>
      </w:r>
      <w:r w:rsidRPr="002F152F">
        <w:t>aptur</w:t>
      </w:r>
      <w:r w:rsidR="005E42D9">
        <w:t>e</w:t>
      </w:r>
      <w:r w:rsidR="00251D99">
        <w:t xml:space="preserve"> evidence</w:t>
      </w:r>
      <w:r w:rsidRPr="002F152F">
        <w:t>. Using this playbook, you should have sufficient evidence in your case to report for compliance (e.g. HIPAA or GDPR), and/or begin legal action if the actor or actors were identified.</w:t>
      </w:r>
    </w:p>
    <w:p w14:paraId="2B5FE5A2" w14:textId="77777777" w:rsidR="00975E82" w:rsidRDefault="004832D2">
      <w:pPr>
        <w:pStyle w:val="Heading1"/>
        <w:ind w:left="-5"/>
      </w:pPr>
      <w:r>
        <w:t>Prerequisites</w:t>
      </w:r>
    </w:p>
    <w:p w14:paraId="18F937FE" w14:textId="77777777" w:rsidR="00975E82" w:rsidRDefault="004832D2">
      <w:pPr>
        <w:numPr>
          <w:ilvl w:val="0"/>
          <w:numId w:val="1"/>
        </w:numPr>
        <w:spacing w:after="232"/>
        <w:ind w:left="706" w:hanging="360"/>
      </w:pPr>
      <w:r>
        <w:t xml:space="preserve">This </w:t>
      </w:r>
      <w:r w:rsidR="00CB0A9C">
        <w:t>playbook requires</w:t>
      </w:r>
      <w:r>
        <w:t xml:space="preserve"> </w:t>
      </w:r>
      <w:r w:rsidR="00CB0A9C">
        <w:t xml:space="preserve">Web Console and </w:t>
      </w:r>
      <w:r>
        <w:t>LogRhythm Enterprise 7.</w:t>
      </w:r>
      <w:r w:rsidR="00CB0A9C">
        <w:t>4</w:t>
      </w:r>
      <w:r>
        <w:t xml:space="preserve"> and later.</w:t>
      </w:r>
    </w:p>
    <w:p w14:paraId="2BE5D155" w14:textId="70DAE40B" w:rsidR="00975E82" w:rsidRDefault="004832D2">
      <w:pPr>
        <w:pStyle w:val="Heading1"/>
        <w:ind w:left="-5"/>
      </w:pPr>
      <w:r>
        <w:t xml:space="preserve">Import the </w:t>
      </w:r>
      <w:r w:rsidR="00CB0A9C">
        <w:t>Playbook</w:t>
      </w:r>
      <w:r w:rsidR="00BC2320">
        <w:t xml:space="preserve"> (One Time Only)</w:t>
      </w:r>
    </w:p>
    <w:p w14:paraId="2A9C7D5A" w14:textId="77777777" w:rsidR="00975E82" w:rsidRDefault="004832D2">
      <w:pPr>
        <w:spacing w:after="217"/>
      </w:pPr>
      <w:r>
        <w:t xml:space="preserve">To import a </w:t>
      </w:r>
      <w:r w:rsidR="00CB0A9C">
        <w:t>Playbook</w:t>
      </w:r>
      <w:r>
        <w:t>:</w:t>
      </w:r>
    </w:p>
    <w:p w14:paraId="037F52AD" w14:textId="2EA1A3AE" w:rsidR="00BC2320" w:rsidRDefault="00BC2320">
      <w:pPr>
        <w:numPr>
          <w:ilvl w:val="0"/>
          <w:numId w:val="2"/>
        </w:numPr>
        <w:ind w:left="706" w:hanging="360"/>
      </w:pPr>
      <w:r>
        <w:t xml:space="preserve">Download the playbook </w:t>
      </w:r>
      <w:r w:rsidR="005E42D9">
        <w:t>from the shareables section of Community.</w:t>
      </w:r>
    </w:p>
    <w:p w14:paraId="5081A682" w14:textId="6A372932" w:rsidR="00975E82" w:rsidRDefault="004832D2">
      <w:pPr>
        <w:numPr>
          <w:ilvl w:val="0"/>
          <w:numId w:val="2"/>
        </w:numPr>
        <w:ind w:left="706" w:hanging="360"/>
      </w:pPr>
      <w:r>
        <w:t xml:space="preserve">Log in to the </w:t>
      </w:r>
      <w:r w:rsidR="00AA1985">
        <w:t>Web</w:t>
      </w:r>
      <w:r>
        <w:t xml:space="preserve"> Console</w:t>
      </w:r>
      <w:r w:rsidR="005E42D9">
        <w:t xml:space="preserve"> as a user with rights for creating and maintaining playbooks</w:t>
      </w:r>
    </w:p>
    <w:p w14:paraId="18DDA7A4" w14:textId="77777777" w:rsidR="00975E82" w:rsidRDefault="00AA1985">
      <w:pPr>
        <w:numPr>
          <w:ilvl w:val="0"/>
          <w:numId w:val="2"/>
        </w:numPr>
        <w:ind w:left="706" w:hanging="360"/>
      </w:pPr>
      <w:r>
        <w:t>Select Administration and Playbooks</w:t>
      </w:r>
      <w:r w:rsidR="004832D2">
        <w:t>.</w:t>
      </w:r>
    </w:p>
    <w:p w14:paraId="0A74ECF6" w14:textId="77777777" w:rsidR="00AA1985" w:rsidRDefault="00AA1985">
      <w:pPr>
        <w:numPr>
          <w:ilvl w:val="0"/>
          <w:numId w:val="2"/>
        </w:numPr>
        <w:ind w:left="706" w:hanging="360"/>
      </w:pPr>
      <w:r>
        <w:t>Select Import Playbook.</w:t>
      </w:r>
    </w:p>
    <w:p w14:paraId="42B35D8D" w14:textId="70596E91" w:rsidR="00AA1985" w:rsidRDefault="00AA1985">
      <w:pPr>
        <w:numPr>
          <w:ilvl w:val="0"/>
          <w:numId w:val="2"/>
        </w:numPr>
        <w:ind w:left="706" w:hanging="360"/>
      </w:pPr>
      <w:r>
        <w:t xml:space="preserve">Browse to the Playbook </w:t>
      </w:r>
      <w:r w:rsidR="00BC2320">
        <w:t>named “Playbook-</w:t>
      </w:r>
      <w:proofErr w:type="spellStart"/>
      <w:r w:rsidR="00B92A32">
        <w:t>Phishing</w:t>
      </w:r>
      <w:r w:rsidR="00BC2320">
        <w:t>.pbe</w:t>
      </w:r>
      <w:proofErr w:type="spellEnd"/>
      <w:r w:rsidR="00BC2320">
        <w:t xml:space="preserve">” </w:t>
      </w:r>
      <w:r w:rsidR="004B265A">
        <w:t>and</w:t>
      </w:r>
      <w:r>
        <w:t xml:space="preserve"> click on “Open”.</w:t>
      </w:r>
    </w:p>
    <w:p w14:paraId="45BC8E54" w14:textId="427B5440" w:rsidR="00975E82" w:rsidRDefault="00AA1985" w:rsidP="00BC2320">
      <w:pPr>
        <w:numPr>
          <w:ilvl w:val="0"/>
          <w:numId w:val="2"/>
        </w:numPr>
        <w:ind w:left="706" w:hanging="360"/>
      </w:pPr>
      <w:r>
        <w:t>Click on “Import” to complete the action.</w:t>
      </w:r>
    </w:p>
    <w:p w14:paraId="6DAD011B" w14:textId="77777777" w:rsidR="00975E82" w:rsidRDefault="00AA1985">
      <w:pPr>
        <w:pStyle w:val="Heading1"/>
        <w:spacing w:after="94"/>
        <w:ind w:left="-5"/>
      </w:pPr>
      <w:r>
        <w:t>Use</w:t>
      </w:r>
      <w:r w:rsidR="004832D2">
        <w:t xml:space="preserve"> the </w:t>
      </w:r>
      <w:r>
        <w:t>Playbook</w:t>
      </w:r>
    </w:p>
    <w:p w14:paraId="21106BC9" w14:textId="0DDAD2A2" w:rsidR="00975E82" w:rsidRDefault="00AA1985" w:rsidP="00AA1985">
      <w:pPr>
        <w:numPr>
          <w:ilvl w:val="0"/>
          <w:numId w:val="3"/>
        </w:numPr>
        <w:ind w:left="706" w:hanging="360"/>
      </w:pPr>
      <w:r>
        <w:t>C</w:t>
      </w:r>
      <w:r w:rsidR="00762E42">
        <w:t>reate a new</w:t>
      </w:r>
      <w:r w:rsidR="005E42D9">
        <w:t xml:space="preserve"> </w:t>
      </w:r>
      <w:r w:rsidR="002F21CA">
        <w:t>case or</w:t>
      </w:r>
      <w:r w:rsidR="00762E42">
        <w:t xml:space="preserve"> </w:t>
      </w:r>
      <w:r w:rsidR="00BC2320">
        <w:t>open</w:t>
      </w:r>
      <w:r w:rsidR="00762E42">
        <w:t xml:space="preserve"> an existing c</w:t>
      </w:r>
      <w:r>
        <w:t>ase</w:t>
      </w:r>
      <w:r w:rsidR="00251D99">
        <w:t>.</w:t>
      </w:r>
    </w:p>
    <w:p w14:paraId="0E03C4FB" w14:textId="77777777" w:rsidR="00AA1985" w:rsidRDefault="00CF5451" w:rsidP="00AA1985">
      <w:pPr>
        <w:numPr>
          <w:ilvl w:val="0"/>
          <w:numId w:val="3"/>
        </w:numPr>
        <w:ind w:left="706" w:hanging="360"/>
      </w:pPr>
      <w:r>
        <w:t>Within the case</w:t>
      </w:r>
      <w:r w:rsidR="00762E42">
        <w:t>, click on “Add Playbooks”.</w:t>
      </w:r>
    </w:p>
    <w:p w14:paraId="41A8852F" w14:textId="0CB99A9B" w:rsidR="00762E42" w:rsidRDefault="00762E42" w:rsidP="00AA1985">
      <w:pPr>
        <w:numPr>
          <w:ilvl w:val="0"/>
          <w:numId w:val="3"/>
        </w:numPr>
        <w:ind w:left="706" w:hanging="360"/>
      </w:pPr>
      <w:r>
        <w:t xml:space="preserve">Use the </w:t>
      </w:r>
      <w:r w:rsidR="004832D2">
        <w:t>drop-down</w:t>
      </w:r>
      <w:r>
        <w:t xml:space="preserve"> menu to select </w:t>
      </w:r>
      <w:r w:rsidR="00BC2320">
        <w:t xml:space="preserve">the </w:t>
      </w:r>
      <w:r w:rsidR="00B92A32">
        <w:t>Phishing</w:t>
      </w:r>
      <w:r w:rsidR="00BC2320">
        <w:t xml:space="preserve"> </w:t>
      </w:r>
      <w:r>
        <w:t>playbook or click on “Advanced” to select multiple playbooks.</w:t>
      </w:r>
    </w:p>
    <w:p w14:paraId="790A3828" w14:textId="77777777" w:rsidR="00762E42" w:rsidRDefault="00762E42" w:rsidP="00AA1985">
      <w:pPr>
        <w:numPr>
          <w:ilvl w:val="0"/>
          <w:numId w:val="3"/>
        </w:numPr>
        <w:ind w:left="706" w:hanging="360"/>
      </w:pPr>
      <w:r>
        <w:lastRenderedPageBreak/>
        <w:t>Under Playbooks, expand the playbook procedures.</w:t>
      </w:r>
    </w:p>
    <w:p w14:paraId="2A2DCED4" w14:textId="0A1114D8" w:rsidR="005E42D9" w:rsidRDefault="00DD0F0B" w:rsidP="00AA1985">
      <w:pPr>
        <w:numPr>
          <w:ilvl w:val="0"/>
          <w:numId w:val="3"/>
        </w:numPr>
        <w:ind w:left="706" w:hanging="360"/>
      </w:pPr>
      <w:r>
        <w:t xml:space="preserve">Expand each procedure and assign the procedure, add notes to the procedure, add a due date to the procedure, </w:t>
      </w:r>
      <w:r w:rsidR="005E42D9">
        <w:t xml:space="preserve">as needed. </w:t>
      </w:r>
    </w:p>
    <w:p w14:paraId="18195FCD" w14:textId="19C47C47" w:rsidR="00762E42" w:rsidRDefault="005E42D9" w:rsidP="00AA1985">
      <w:pPr>
        <w:numPr>
          <w:ilvl w:val="0"/>
          <w:numId w:val="3"/>
        </w:numPr>
        <w:ind w:left="706" w:hanging="360"/>
      </w:pPr>
      <w:r>
        <w:t>S</w:t>
      </w:r>
      <w:r w:rsidR="00DD0F0B">
        <w:t xml:space="preserve">kip or close the procedure by putting a check in </w:t>
      </w:r>
      <w:r>
        <w:t xml:space="preserve">either the skip or close </w:t>
      </w:r>
      <w:r w:rsidR="00DD0F0B">
        <w:t>box</w:t>
      </w:r>
      <w:r>
        <w:t xml:space="preserve"> and adding appropriate notes</w:t>
      </w:r>
      <w:r w:rsidR="00DD0F0B">
        <w:t>.</w:t>
      </w:r>
    </w:p>
    <w:p w14:paraId="5F92AA49" w14:textId="355964A2" w:rsidR="00954D04" w:rsidRPr="006D550F" w:rsidRDefault="00B92A32" w:rsidP="00954D04">
      <w:pPr>
        <w:rPr>
          <w:b/>
          <w:color w:val="2D74B5"/>
          <w:sz w:val="28"/>
        </w:rPr>
      </w:pPr>
      <w:r>
        <w:rPr>
          <w:b/>
          <w:color w:val="2D74B5"/>
          <w:sz w:val="28"/>
        </w:rPr>
        <w:t>Phishing</w:t>
      </w:r>
      <w:r w:rsidR="006D550F" w:rsidRPr="006D550F">
        <w:rPr>
          <w:b/>
          <w:color w:val="2D74B5"/>
          <w:sz w:val="28"/>
        </w:rPr>
        <w:t xml:space="preserve"> Playbook </w:t>
      </w:r>
      <w:r w:rsidR="004B265A">
        <w:rPr>
          <w:b/>
          <w:color w:val="2D74B5"/>
          <w:sz w:val="28"/>
        </w:rPr>
        <w:t>Procedures</w:t>
      </w:r>
    </w:p>
    <w:p w14:paraId="071F1C78" w14:textId="6B34AC4F" w:rsidR="006D550F" w:rsidRDefault="006D550F" w:rsidP="00954D04">
      <w:r>
        <w:t xml:space="preserve">The playbook is a set of </w:t>
      </w:r>
      <w:r w:rsidR="00B92A32">
        <w:t>6</w:t>
      </w:r>
      <w:r>
        <w:t xml:space="preserve"> procedures, ranging from initial investigation, to creating an incident, and the steps needed to complete the investigation. There are some details that will help an analyst action a more advanced procedure. The procedures included are:</w:t>
      </w:r>
    </w:p>
    <w:p w14:paraId="11EF00AD" w14:textId="3A6EF9FC" w:rsidR="00494A01" w:rsidRDefault="007E5895" w:rsidP="004E79A5">
      <w:pPr>
        <w:pStyle w:val="ListParagraph"/>
        <w:numPr>
          <w:ilvl w:val="0"/>
          <w:numId w:val="5"/>
        </w:numPr>
      </w:pPr>
      <w:r>
        <w:t>Determine if you are investigating an incident or event</w:t>
      </w:r>
    </w:p>
    <w:p w14:paraId="356791A5" w14:textId="73263B30" w:rsidR="00883829" w:rsidRDefault="007E5895" w:rsidP="004B265A">
      <w:pPr>
        <w:pStyle w:val="ListParagraph"/>
        <w:numPr>
          <w:ilvl w:val="0"/>
          <w:numId w:val="5"/>
        </w:numPr>
      </w:pPr>
      <w:r>
        <w:t>Acquire, preserve, secure, and document evidence</w:t>
      </w:r>
    </w:p>
    <w:p w14:paraId="1CB9A4D7" w14:textId="7473C93F" w:rsidR="007E5895" w:rsidRDefault="007E5895" w:rsidP="004B265A">
      <w:pPr>
        <w:pStyle w:val="ListParagraph"/>
        <w:numPr>
          <w:ilvl w:val="0"/>
          <w:numId w:val="5"/>
        </w:numPr>
      </w:pPr>
      <w:r>
        <w:t>Determine the type of phish and whether it contains malware, links to malware, or links to a social engineering website to obtain user credentials</w:t>
      </w:r>
    </w:p>
    <w:p w14:paraId="18FC787D" w14:textId="561FD757" w:rsidR="007E5895" w:rsidRDefault="007E5895" w:rsidP="004B265A">
      <w:pPr>
        <w:pStyle w:val="ListParagraph"/>
        <w:numPr>
          <w:ilvl w:val="0"/>
          <w:numId w:val="5"/>
        </w:numPr>
      </w:pPr>
      <w:r>
        <w:t>Investigate phish headers for indicators of sender and block indicators from being able to send phishing emails to the company in the future</w:t>
      </w:r>
    </w:p>
    <w:p w14:paraId="1E951AEB" w14:textId="4DF8F53D" w:rsidR="007E5895" w:rsidRDefault="007E5895" w:rsidP="004B265A">
      <w:pPr>
        <w:pStyle w:val="ListParagraph"/>
        <w:numPr>
          <w:ilvl w:val="0"/>
          <w:numId w:val="5"/>
        </w:numPr>
      </w:pPr>
      <w:r>
        <w:t>Determine if the phish was sent to other recipients and if the email was opened</w:t>
      </w:r>
    </w:p>
    <w:p w14:paraId="62E510C1" w14:textId="0FAD39AE" w:rsidR="007E5895" w:rsidRDefault="007E5895" w:rsidP="004B265A">
      <w:pPr>
        <w:pStyle w:val="ListParagraph"/>
        <w:numPr>
          <w:ilvl w:val="0"/>
          <w:numId w:val="5"/>
        </w:numPr>
      </w:pPr>
      <w:r>
        <w:t>Determine if the phish was sent to other recipients and remove the email from their inboxes</w:t>
      </w:r>
    </w:p>
    <w:p w14:paraId="038A8AAD" w14:textId="135792D6" w:rsidR="007E5895" w:rsidRDefault="007E5895" w:rsidP="004B265A">
      <w:pPr>
        <w:pStyle w:val="ListParagraph"/>
        <w:numPr>
          <w:ilvl w:val="0"/>
          <w:numId w:val="5"/>
        </w:numPr>
      </w:pPr>
      <w:r>
        <w:t>Provide feedback and lessons learned to reduce chances of incident occurring again</w:t>
      </w:r>
      <w:bookmarkStart w:id="0" w:name="_GoBack"/>
      <w:bookmarkEnd w:id="0"/>
    </w:p>
    <w:p w14:paraId="207D0C53" w14:textId="77777777" w:rsidR="00975E82" w:rsidRDefault="004832D2">
      <w:pPr>
        <w:pStyle w:val="Heading3"/>
        <w:ind w:left="-5"/>
      </w:pPr>
      <w:r>
        <w:t>© LogRhythm, Inc. All rights reserved</w:t>
      </w:r>
      <w:r>
        <w:rPr>
          <w:b w:val="0"/>
          <w:color w:val="000000"/>
          <w:sz w:val="22"/>
        </w:rPr>
        <w:t xml:space="preserve"> </w:t>
      </w:r>
    </w:p>
    <w:p w14:paraId="784E7F40" w14:textId="77777777" w:rsidR="00975E82" w:rsidRDefault="004832D2">
      <w:pPr>
        <w:spacing w:after="159" w:line="258" w:lineRule="auto"/>
        <w:ind w:left="-5"/>
      </w:pPr>
      <w:r>
        <w:rPr>
          <w:rFonts w:ascii="Calibri" w:eastAsia="Calibri" w:hAnsi="Calibri" w:cs="Calibri"/>
          <w:color w:val="818181"/>
          <w:sz w:val="14"/>
        </w:rPr>
        <w:t xml:space="preserve">This document contains proprietary and confidential information of LogRhythm, Inc., which is protected by copyright and possible non-disclosure agreements. The Software described in this Guide is furnished under the End User License Agreement or the applicable Terms and Conditions (“Agreement”) which governs the use of the Software. This Software may be used or copied only in accordance with the Agreement. No part of this Guide may be reproduced or transmitted in any form or by any means, electronic or mechanical, including photocopying and recording for any purpose other than what is permitted in the Agreement. </w:t>
      </w:r>
    </w:p>
    <w:p w14:paraId="7674B5CE" w14:textId="77777777" w:rsidR="00975E82" w:rsidRDefault="004832D2">
      <w:pPr>
        <w:pStyle w:val="Heading3"/>
        <w:ind w:left="-5"/>
      </w:pPr>
      <w:r>
        <w:t xml:space="preserve">Disclaimer  </w:t>
      </w:r>
    </w:p>
    <w:p w14:paraId="766F8DE7" w14:textId="77777777" w:rsidR="00975E82" w:rsidRDefault="004832D2">
      <w:pPr>
        <w:spacing w:after="159" w:line="258" w:lineRule="auto"/>
        <w:ind w:left="-5"/>
      </w:pPr>
      <w:r>
        <w:rPr>
          <w:rFonts w:ascii="Calibri" w:eastAsia="Calibri" w:hAnsi="Calibri" w:cs="Calibri"/>
          <w:color w:val="818181"/>
          <w:sz w:val="14"/>
        </w:rPr>
        <w:t xml:space="preserve">The information contained in this document is subject to change without notice. LogRhythm, Inc. makes no warranty of any kind with respect to this information. LogRhythm, Inc. specifically disclaims the implied warranty of merchantability and fitness for a particular purpose. LogRhythm, Inc. shall not be liable for any direct, indirect, incidental, consequential, or other damages alleged in connection with the furnishing or use of this information. </w:t>
      </w:r>
    </w:p>
    <w:p w14:paraId="30A3D0AD" w14:textId="77777777" w:rsidR="00975E82" w:rsidRDefault="004832D2">
      <w:pPr>
        <w:pStyle w:val="Heading3"/>
        <w:ind w:left="-5"/>
      </w:pPr>
      <w:r>
        <w:t xml:space="preserve">Trademark </w:t>
      </w:r>
    </w:p>
    <w:p w14:paraId="17895D22" w14:textId="77777777" w:rsidR="00975E82" w:rsidRDefault="004832D2">
      <w:pPr>
        <w:spacing w:after="159" w:line="258" w:lineRule="auto"/>
        <w:ind w:left="-5"/>
      </w:pPr>
      <w:r>
        <w:rPr>
          <w:rFonts w:ascii="Calibri" w:eastAsia="Calibri" w:hAnsi="Calibri" w:cs="Calibri"/>
          <w:color w:val="818181"/>
          <w:sz w:val="14"/>
        </w:rPr>
        <w:t xml:space="preserve">LogRhythm is a registered trademark of LogRhythm, Inc. All other company or product names mentioned may be trademarks, registered trademarks, or service marks of their respective holders. </w:t>
      </w:r>
    </w:p>
    <w:sectPr w:rsidR="00975E82">
      <w:headerReference w:type="even" r:id="rId7"/>
      <w:headerReference w:type="default" r:id="rId8"/>
      <w:footerReference w:type="even" r:id="rId9"/>
      <w:footerReference w:type="default" r:id="rId10"/>
      <w:headerReference w:type="first" r:id="rId11"/>
      <w:footerReference w:type="first" r:id="rId12"/>
      <w:pgSz w:w="12240" w:h="15840"/>
      <w:pgMar w:top="1502" w:right="1103" w:bottom="1183" w:left="1080" w:header="28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BB7F28" w14:textId="77777777" w:rsidR="00964425" w:rsidRDefault="00964425">
      <w:pPr>
        <w:spacing w:after="0" w:line="240" w:lineRule="auto"/>
      </w:pPr>
      <w:r>
        <w:separator/>
      </w:r>
    </w:p>
  </w:endnote>
  <w:endnote w:type="continuationSeparator" w:id="0">
    <w:p w14:paraId="1B842B99" w14:textId="77777777" w:rsidR="00964425" w:rsidRDefault="00964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6976E6" w14:textId="77777777" w:rsidR="00975E82" w:rsidRDefault="004832D2">
    <w:pPr>
      <w:tabs>
        <w:tab w:val="right" w:pos="10057"/>
      </w:tabs>
      <w:spacing w:after="0" w:line="259" w:lineRule="auto"/>
      <w:ind w:left="0" w:right="-21"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452C19A1" wp14:editId="47E00AD5">
              <wp:simplePos x="0" y="0"/>
              <wp:positionH relativeFrom="page">
                <wp:posOffset>666750</wp:posOffset>
              </wp:positionH>
              <wp:positionV relativeFrom="page">
                <wp:posOffset>9409938</wp:posOffset>
              </wp:positionV>
              <wp:extent cx="6438913" cy="6096"/>
              <wp:effectExtent l="0" t="0" r="0" b="0"/>
              <wp:wrapSquare wrapText="bothSides"/>
              <wp:docPr id="10973" name="Group 10973"/>
              <wp:cNvGraphicFramePr/>
              <a:graphic xmlns:a="http://schemas.openxmlformats.org/drawingml/2006/main">
                <a:graphicData uri="http://schemas.microsoft.com/office/word/2010/wordprocessingGroup">
                  <wpg:wgp>
                    <wpg:cNvGrpSpPr/>
                    <wpg:grpSpPr>
                      <a:xfrm>
                        <a:off x="0" y="0"/>
                        <a:ext cx="6438913" cy="6096"/>
                        <a:chOff x="0" y="0"/>
                        <a:chExt cx="6438913" cy="6096"/>
                      </a:xfrm>
                    </wpg:grpSpPr>
                    <wps:wsp>
                      <wps:cNvPr id="11496" name="Shape 11496"/>
                      <wps:cNvSpPr/>
                      <wps:spPr>
                        <a:xfrm>
                          <a:off x="0" y="0"/>
                          <a:ext cx="6438913" cy="9144"/>
                        </a:xfrm>
                        <a:custGeom>
                          <a:avLst/>
                          <a:gdLst/>
                          <a:ahLst/>
                          <a:cxnLst/>
                          <a:rect l="0" t="0" r="0" b="0"/>
                          <a:pathLst>
                            <a:path w="6438913" h="9144">
                              <a:moveTo>
                                <a:pt x="0" y="0"/>
                              </a:moveTo>
                              <a:lnTo>
                                <a:pt x="6438913" y="0"/>
                              </a:lnTo>
                              <a:lnTo>
                                <a:pt x="6438913" y="9144"/>
                              </a:lnTo>
                              <a:lnTo>
                                <a:pt x="0" y="9144"/>
                              </a:lnTo>
                              <a:lnTo>
                                <a:pt x="0" y="0"/>
                              </a:lnTo>
                            </a:path>
                          </a:pathLst>
                        </a:custGeom>
                        <a:ln w="0" cap="flat">
                          <a:miter lim="127000"/>
                        </a:ln>
                      </wps:spPr>
                      <wps:style>
                        <a:lnRef idx="0">
                          <a:srgbClr val="000000">
                            <a:alpha val="0"/>
                          </a:srgbClr>
                        </a:lnRef>
                        <a:fillRef idx="1">
                          <a:srgbClr val="2D74B5"/>
                        </a:fillRef>
                        <a:effectRef idx="0">
                          <a:scrgbClr r="0" g="0" b="0"/>
                        </a:effectRef>
                        <a:fontRef idx="none"/>
                      </wps:style>
                      <wps:bodyPr/>
                    </wps:wsp>
                  </wpg:wgp>
                </a:graphicData>
              </a:graphic>
            </wp:anchor>
          </w:drawing>
        </mc:Choice>
        <mc:Fallback>
          <w:pict>
            <v:group w14:anchorId="72230BBC" id="Group 10973" o:spid="_x0000_s1026" style="position:absolute;margin-left:52.5pt;margin-top:740.95pt;width:507pt;height:.5pt;z-index:251661312;mso-position-horizontal-relative:page;mso-position-vertical-relative:page" coordsize="6438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">
              <v:shape id="Shape 11496" o:spid="_x0000_s1027" style="position:absolute;width:64389;height:91;visibility:visible;mso-wrap-style:square;v-text-anchor:top" coordsize="643891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" path="m,l6438913,r,9144l,9144,,e" fillcolor="#2d74b5" stroked="f" strokeweight="0">
                <v:stroke miterlimit="83231f" joinstyle="miter"/>
                <v:path arrowok="t" textboxrect="0,0,6438913,9144"/>
              </v:shape>
              <w10:wrap type="square" anchorx="page" anchory="page"/>
            </v:group>
          </w:pict>
        </mc:Fallback>
      </mc:AlternateContent>
    </w:r>
    <w:r>
      <w:rPr>
        <w:sz w:val="16"/>
      </w:rPr>
      <w:t xml:space="preserve">© LogRhythm, Inc. All rights reserved </w:t>
    </w:r>
    <w:r>
      <w:rPr>
        <w:sz w:val="16"/>
      </w:rPr>
      <w:tab/>
      <w:t xml:space="preserve">Page </w:t>
    </w:r>
    <w:r>
      <w:fldChar w:fldCharType="begin"/>
    </w:r>
    <w:r>
      <w:instrText xml:space="preserve"> PAGE   \* MERGEFORMAT </w:instrText>
    </w:r>
    <w:r>
      <w:fldChar w:fldCharType="separate"/>
    </w:r>
    <w:r>
      <w:rPr>
        <w:sz w:val="16"/>
      </w:rPr>
      <w:t>1</w:t>
    </w:r>
    <w:r>
      <w:rPr>
        <w:sz w:val="16"/>
      </w:rPr>
      <w:fldChar w:fldCharType="end"/>
    </w:r>
    <w:r>
      <w:rPr>
        <w:sz w:val="16"/>
      </w:rPr>
      <w:t xml:space="preserve"> of </w:t>
    </w:r>
    <w:fldSimple w:instr=" NUMPAGES   \* MERGEFORMAT ">
      <w:r>
        <w:rPr>
          <w:sz w:val="16"/>
        </w:rPr>
        <w:t>6</w:t>
      </w:r>
    </w:fldSimple>
    <w:r>
      <w:rPr>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3C2C8D" w14:textId="77777777" w:rsidR="00975E82" w:rsidRDefault="004832D2">
    <w:pPr>
      <w:tabs>
        <w:tab w:val="right" w:pos="10057"/>
      </w:tabs>
      <w:spacing w:after="0" w:line="259" w:lineRule="auto"/>
      <w:ind w:left="0" w:right="-21"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790C62F2" wp14:editId="6B3CC863">
              <wp:simplePos x="0" y="0"/>
              <wp:positionH relativeFrom="page">
                <wp:posOffset>666750</wp:posOffset>
              </wp:positionH>
              <wp:positionV relativeFrom="page">
                <wp:posOffset>9409938</wp:posOffset>
              </wp:positionV>
              <wp:extent cx="6438913" cy="6096"/>
              <wp:effectExtent l="0" t="0" r="0" b="0"/>
              <wp:wrapSquare wrapText="bothSides"/>
              <wp:docPr id="10948" name="Group 10948"/>
              <wp:cNvGraphicFramePr/>
              <a:graphic xmlns:a="http://schemas.openxmlformats.org/drawingml/2006/main">
                <a:graphicData uri="http://schemas.microsoft.com/office/word/2010/wordprocessingGroup">
                  <wpg:wgp>
                    <wpg:cNvGrpSpPr/>
                    <wpg:grpSpPr>
                      <a:xfrm>
                        <a:off x="0" y="0"/>
                        <a:ext cx="6438913" cy="6096"/>
                        <a:chOff x="0" y="0"/>
                        <a:chExt cx="6438913" cy="6096"/>
                      </a:xfrm>
                    </wpg:grpSpPr>
                    <wps:wsp>
                      <wps:cNvPr id="11494" name="Shape 11494"/>
                      <wps:cNvSpPr/>
                      <wps:spPr>
                        <a:xfrm>
                          <a:off x="0" y="0"/>
                          <a:ext cx="6438913" cy="9144"/>
                        </a:xfrm>
                        <a:custGeom>
                          <a:avLst/>
                          <a:gdLst/>
                          <a:ahLst/>
                          <a:cxnLst/>
                          <a:rect l="0" t="0" r="0" b="0"/>
                          <a:pathLst>
                            <a:path w="6438913" h="9144">
                              <a:moveTo>
                                <a:pt x="0" y="0"/>
                              </a:moveTo>
                              <a:lnTo>
                                <a:pt x="6438913" y="0"/>
                              </a:lnTo>
                              <a:lnTo>
                                <a:pt x="6438913" y="9144"/>
                              </a:lnTo>
                              <a:lnTo>
                                <a:pt x="0" y="9144"/>
                              </a:lnTo>
                              <a:lnTo>
                                <a:pt x="0" y="0"/>
                              </a:lnTo>
                            </a:path>
                          </a:pathLst>
                        </a:custGeom>
                        <a:ln w="0" cap="flat">
                          <a:miter lim="127000"/>
                        </a:ln>
                      </wps:spPr>
                      <wps:style>
                        <a:lnRef idx="0">
                          <a:srgbClr val="000000">
                            <a:alpha val="0"/>
                          </a:srgbClr>
                        </a:lnRef>
                        <a:fillRef idx="1">
                          <a:srgbClr val="2D74B5"/>
                        </a:fillRef>
                        <a:effectRef idx="0">
                          <a:scrgbClr r="0" g="0" b="0"/>
                        </a:effectRef>
                        <a:fontRef idx="none"/>
                      </wps:style>
                      <wps:bodyPr/>
                    </wps:wsp>
                  </wpg:wgp>
                </a:graphicData>
              </a:graphic>
            </wp:anchor>
          </w:drawing>
        </mc:Choice>
        <mc:Fallback>
          <w:pict>
            <v:group w14:anchorId="485C93F6" id="Group 10948" o:spid="_x0000_s1026" style="position:absolute;margin-left:52.5pt;margin-top:740.95pt;width:507pt;height:.5pt;z-index:251662336;mso-position-horizontal-relative:page;mso-position-vertical-relative:page" coordsize="6438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">
              <v:shape id="Shape 11494" o:spid="_x0000_s1027" style="position:absolute;width:64389;height:91;visibility:visible;mso-wrap-style:square;v-text-anchor:top" coordsize="643891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" path="m,l6438913,r,9144l,9144,,e" fillcolor="#2d74b5" stroked="f" strokeweight="0">
                <v:stroke miterlimit="83231f" joinstyle="miter"/>
                <v:path arrowok="t" textboxrect="0,0,6438913,9144"/>
              </v:shape>
              <w10:wrap type="square" anchorx="page" anchory="page"/>
            </v:group>
          </w:pict>
        </mc:Fallback>
      </mc:AlternateContent>
    </w:r>
    <w:r>
      <w:rPr>
        <w:sz w:val="16"/>
      </w:rPr>
      <w:t xml:space="preserve">© LogRhythm, Inc. All rights reserved </w:t>
    </w:r>
    <w:r>
      <w:rPr>
        <w:sz w:val="16"/>
      </w:rPr>
      <w:tab/>
      <w:t xml:space="preserve">Page </w:t>
    </w:r>
    <w:r>
      <w:fldChar w:fldCharType="begin"/>
    </w:r>
    <w:r>
      <w:instrText xml:space="preserve"> PAGE   \* MERGEFORMAT </w:instrText>
    </w:r>
    <w:r>
      <w:fldChar w:fldCharType="separate"/>
    </w:r>
    <w:r w:rsidRPr="004832D2">
      <w:rPr>
        <w:noProof/>
        <w:sz w:val="16"/>
      </w:rPr>
      <w:t>2</w:t>
    </w:r>
    <w:r>
      <w:rPr>
        <w:sz w:val="16"/>
      </w:rPr>
      <w:fldChar w:fldCharType="end"/>
    </w:r>
    <w:r>
      <w:rPr>
        <w:sz w:val="16"/>
      </w:rPr>
      <w:t xml:space="preserve"> of </w:t>
    </w:r>
    <w:fldSimple w:instr=" NUMPAGES   \* MERGEFORMAT ">
      <w:r w:rsidRPr="004832D2">
        <w:rPr>
          <w:noProof/>
          <w:sz w:val="16"/>
        </w:rPr>
        <w:t>2</w:t>
      </w:r>
    </w:fldSimple>
    <w:r>
      <w:rPr>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3DDC9" w14:textId="77777777" w:rsidR="00975E82" w:rsidRDefault="004832D2">
    <w:pPr>
      <w:tabs>
        <w:tab w:val="right" w:pos="10057"/>
      </w:tabs>
      <w:spacing w:after="0" w:line="259" w:lineRule="auto"/>
      <w:ind w:left="0" w:right="-21"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28757126" wp14:editId="3C827846">
              <wp:simplePos x="0" y="0"/>
              <wp:positionH relativeFrom="page">
                <wp:posOffset>666750</wp:posOffset>
              </wp:positionH>
              <wp:positionV relativeFrom="page">
                <wp:posOffset>9409938</wp:posOffset>
              </wp:positionV>
              <wp:extent cx="6438913" cy="6096"/>
              <wp:effectExtent l="0" t="0" r="0" b="0"/>
              <wp:wrapSquare wrapText="bothSides"/>
              <wp:docPr id="10923" name="Group 10923"/>
              <wp:cNvGraphicFramePr/>
              <a:graphic xmlns:a="http://schemas.openxmlformats.org/drawingml/2006/main">
                <a:graphicData uri="http://schemas.microsoft.com/office/word/2010/wordprocessingGroup">
                  <wpg:wgp>
                    <wpg:cNvGrpSpPr/>
                    <wpg:grpSpPr>
                      <a:xfrm>
                        <a:off x="0" y="0"/>
                        <a:ext cx="6438913" cy="6096"/>
                        <a:chOff x="0" y="0"/>
                        <a:chExt cx="6438913" cy="6096"/>
                      </a:xfrm>
                    </wpg:grpSpPr>
                    <wps:wsp>
                      <wps:cNvPr id="11492" name="Shape 11492"/>
                      <wps:cNvSpPr/>
                      <wps:spPr>
                        <a:xfrm>
                          <a:off x="0" y="0"/>
                          <a:ext cx="6438913" cy="9144"/>
                        </a:xfrm>
                        <a:custGeom>
                          <a:avLst/>
                          <a:gdLst/>
                          <a:ahLst/>
                          <a:cxnLst/>
                          <a:rect l="0" t="0" r="0" b="0"/>
                          <a:pathLst>
                            <a:path w="6438913" h="9144">
                              <a:moveTo>
                                <a:pt x="0" y="0"/>
                              </a:moveTo>
                              <a:lnTo>
                                <a:pt x="6438913" y="0"/>
                              </a:lnTo>
                              <a:lnTo>
                                <a:pt x="6438913" y="9144"/>
                              </a:lnTo>
                              <a:lnTo>
                                <a:pt x="0" y="9144"/>
                              </a:lnTo>
                              <a:lnTo>
                                <a:pt x="0" y="0"/>
                              </a:lnTo>
                            </a:path>
                          </a:pathLst>
                        </a:custGeom>
                        <a:ln w="0" cap="flat">
                          <a:miter lim="127000"/>
                        </a:ln>
                      </wps:spPr>
                      <wps:style>
                        <a:lnRef idx="0">
                          <a:srgbClr val="000000">
                            <a:alpha val="0"/>
                          </a:srgbClr>
                        </a:lnRef>
                        <a:fillRef idx="1">
                          <a:srgbClr val="2D74B5"/>
                        </a:fillRef>
                        <a:effectRef idx="0">
                          <a:scrgbClr r="0" g="0" b="0"/>
                        </a:effectRef>
                        <a:fontRef idx="none"/>
                      </wps:style>
                      <wps:bodyPr/>
                    </wps:wsp>
                  </wpg:wgp>
                </a:graphicData>
              </a:graphic>
            </wp:anchor>
          </w:drawing>
        </mc:Choice>
        <mc:Fallback>
          <w:pict>
            <v:group w14:anchorId="4FE9CB02" id="Group 10923" o:spid="_x0000_s1026" style="position:absolute;margin-left:52.5pt;margin-top:740.95pt;width:507pt;height:.5pt;z-index:251663360;mso-position-horizontal-relative:page;mso-position-vertical-relative:page" coordsize="6438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">
              <v:shape id="Shape 11492" o:spid="_x0000_s1027" style="position:absolute;width:64389;height:91;visibility:visible;mso-wrap-style:square;v-text-anchor:top" coordsize="643891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" path="m,l6438913,r,9144l,9144,,e" fillcolor="#2d74b5" stroked="f" strokeweight="0">
                <v:stroke miterlimit="83231f" joinstyle="miter"/>
                <v:path arrowok="t" textboxrect="0,0,6438913,9144"/>
              </v:shape>
              <w10:wrap type="square" anchorx="page" anchory="page"/>
            </v:group>
          </w:pict>
        </mc:Fallback>
      </mc:AlternateContent>
    </w:r>
    <w:r>
      <w:rPr>
        <w:sz w:val="16"/>
      </w:rPr>
      <w:t xml:space="preserve">© LogRhythm, Inc. All rights reserved </w:t>
    </w:r>
    <w:r>
      <w:rPr>
        <w:sz w:val="16"/>
      </w:rPr>
      <w:tab/>
      <w:t xml:space="preserve">Page </w:t>
    </w:r>
    <w:r>
      <w:fldChar w:fldCharType="begin"/>
    </w:r>
    <w:r>
      <w:instrText xml:space="preserve"> PAGE   \* MERGEFORMAT </w:instrText>
    </w:r>
    <w:r>
      <w:fldChar w:fldCharType="separate"/>
    </w:r>
    <w:r>
      <w:rPr>
        <w:sz w:val="16"/>
      </w:rPr>
      <w:t>1</w:t>
    </w:r>
    <w:r>
      <w:rPr>
        <w:sz w:val="16"/>
      </w:rPr>
      <w:fldChar w:fldCharType="end"/>
    </w:r>
    <w:r>
      <w:rPr>
        <w:sz w:val="16"/>
      </w:rPr>
      <w:t xml:space="preserve"> of </w:t>
    </w:r>
    <w:fldSimple w:instr=" NUMPAGES   \* MERGEFORMAT ">
      <w:r>
        <w:rPr>
          <w:sz w:val="16"/>
        </w:rPr>
        <w:t>6</w:t>
      </w:r>
    </w:fldSimple>
    <w:r>
      <w:rPr>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335257" w14:textId="77777777" w:rsidR="00964425" w:rsidRDefault="00964425">
      <w:pPr>
        <w:spacing w:after="0" w:line="240" w:lineRule="auto"/>
      </w:pPr>
      <w:r>
        <w:separator/>
      </w:r>
    </w:p>
  </w:footnote>
  <w:footnote w:type="continuationSeparator" w:id="0">
    <w:p w14:paraId="56FCB16E" w14:textId="77777777" w:rsidR="00964425" w:rsidRDefault="009644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3EDB9" w14:textId="77777777" w:rsidR="00975E82" w:rsidRDefault="004832D2">
    <w:pPr>
      <w:spacing w:after="152" w:line="259" w:lineRule="auto"/>
      <w:ind w:left="0" w:right="-78" w:firstLine="0"/>
      <w:jc w:val="right"/>
    </w:pPr>
    <w:r>
      <w:rPr>
        <w:noProof/>
      </w:rPr>
      <w:drawing>
        <wp:anchor distT="0" distB="0" distL="114300" distR="114300" simplePos="0" relativeHeight="251658240" behindDoc="0" locked="0" layoutInCell="1" allowOverlap="0" wp14:anchorId="318BF338" wp14:editId="60FE77EB">
          <wp:simplePos x="0" y="0"/>
          <wp:positionH relativeFrom="page">
            <wp:posOffset>5102861</wp:posOffset>
          </wp:positionH>
          <wp:positionV relativeFrom="page">
            <wp:posOffset>182882</wp:posOffset>
          </wp:positionV>
          <wp:extent cx="1983739" cy="50292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983739" cy="502920"/>
                  </a:xfrm>
                  <a:prstGeom prst="rect">
                    <a:avLst/>
                  </a:prstGeom>
                </pic:spPr>
              </pic:pic>
            </a:graphicData>
          </a:graphic>
        </wp:anchor>
      </w:drawing>
    </w:r>
    <w:r>
      <w:t xml:space="preserve"> </w:t>
    </w:r>
  </w:p>
  <w:p w14:paraId="2EA3C440" w14:textId="77777777" w:rsidR="00975E82" w:rsidRDefault="004832D2">
    <w:pPr>
      <w:spacing w:after="0" w:line="259" w:lineRule="auto"/>
      <w:ind w:left="0" w:firstLine="0"/>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718FC" w14:textId="77777777" w:rsidR="00975E82" w:rsidRDefault="004832D2">
    <w:pPr>
      <w:spacing w:after="152" w:line="259" w:lineRule="auto"/>
      <w:ind w:left="0" w:right="-78" w:firstLine="0"/>
      <w:jc w:val="right"/>
    </w:pPr>
    <w:r>
      <w:rPr>
        <w:noProof/>
      </w:rPr>
      <w:drawing>
        <wp:anchor distT="0" distB="0" distL="114300" distR="114300" simplePos="0" relativeHeight="251659264" behindDoc="0" locked="0" layoutInCell="1" allowOverlap="0" wp14:anchorId="1D4B64A4" wp14:editId="70609B20">
          <wp:simplePos x="0" y="0"/>
          <wp:positionH relativeFrom="page">
            <wp:posOffset>5102861</wp:posOffset>
          </wp:positionH>
          <wp:positionV relativeFrom="page">
            <wp:posOffset>182882</wp:posOffset>
          </wp:positionV>
          <wp:extent cx="1983739" cy="50292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983739" cy="502920"/>
                  </a:xfrm>
                  <a:prstGeom prst="rect">
                    <a:avLst/>
                  </a:prstGeom>
                </pic:spPr>
              </pic:pic>
            </a:graphicData>
          </a:graphic>
        </wp:anchor>
      </w:drawing>
    </w:r>
    <w:r>
      <w:t xml:space="preserve"> </w:t>
    </w:r>
  </w:p>
  <w:p w14:paraId="24F62954" w14:textId="77777777" w:rsidR="00975E82" w:rsidRDefault="004832D2">
    <w:pPr>
      <w:spacing w:after="0" w:line="259" w:lineRule="auto"/>
      <w:ind w:left="0" w:firstLine="0"/>
    </w:pP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A53F6" w14:textId="77777777" w:rsidR="00975E82" w:rsidRDefault="004832D2">
    <w:pPr>
      <w:spacing w:after="152" w:line="259" w:lineRule="auto"/>
      <w:ind w:left="0" w:right="-78" w:firstLine="0"/>
      <w:jc w:val="right"/>
    </w:pPr>
    <w:r>
      <w:rPr>
        <w:noProof/>
      </w:rPr>
      <w:drawing>
        <wp:anchor distT="0" distB="0" distL="114300" distR="114300" simplePos="0" relativeHeight="251660288" behindDoc="0" locked="0" layoutInCell="1" allowOverlap="0" wp14:anchorId="15E05C27" wp14:editId="5B3C0415">
          <wp:simplePos x="0" y="0"/>
          <wp:positionH relativeFrom="page">
            <wp:posOffset>5102861</wp:posOffset>
          </wp:positionH>
          <wp:positionV relativeFrom="page">
            <wp:posOffset>182882</wp:posOffset>
          </wp:positionV>
          <wp:extent cx="1983739" cy="50292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983739" cy="502920"/>
                  </a:xfrm>
                  <a:prstGeom prst="rect">
                    <a:avLst/>
                  </a:prstGeom>
                </pic:spPr>
              </pic:pic>
            </a:graphicData>
          </a:graphic>
        </wp:anchor>
      </w:drawing>
    </w:r>
    <w:r>
      <w:t xml:space="preserve"> </w:t>
    </w:r>
  </w:p>
  <w:p w14:paraId="7943F6A1" w14:textId="77777777" w:rsidR="00975E82" w:rsidRDefault="004832D2">
    <w:pPr>
      <w:spacing w:after="0" w:line="259" w:lineRule="auto"/>
      <w:ind w:left="0" w:firstLine="0"/>
    </w:pP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A4960"/>
    <w:multiLevelType w:val="hybridMultilevel"/>
    <w:tmpl w:val="3DAAFD90"/>
    <w:lvl w:ilvl="0" w:tplc="0BC28C9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6A4A17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C065F2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900F94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AF252B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AC470E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EDADA3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696AEE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2AA64B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8F93C56"/>
    <w:multiLevelType w:val="hybridMultilevel"/>
    <w:tmpl w:val="FBD49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E35613"/>
    <w:multiLevelType w:val="hybridMultilevel"/>
    <w:tmpl w:val="A14C508E"/>
    <w:lvl w:ilvl="0" w:tplc="DF6A7BE2">
      <w:start w:val="1"/>
      <w:numFmt w:val="decimal"/>
      <w:lvlText w:val="%1."/>
      <w:lvlJc w:val="left"/>
      <w:pPr>
        <w:ind w:left="70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1E1ECB26">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FCFE1E7C">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F6D2947E">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0BD2B4B6">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2E14FCE8">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08B8C002">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8F1CB5A0">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6AFA545E">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3175EB9"/>
    <w:multiLevelType w:val="hybridMultilevel"/>
    <w:tmpl w:val="3B9C4D36"/>
    <w:lvl w:ilvl="0" w:tplc="A2A65D3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3CC8E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99A91A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602071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562392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EE855E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43875B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B429C1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552BF2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FA1108B"/>
    <w:multiLevelType w:val="hybridMultilevel"/>
    <w:tmpl w:val="ACDE42DC"/>
    <w:lvl w:ilvl="0" w:tplc="3E9689BE">
      <w:start w:val="1"/>
      <w:numFmt w:val="decimal"/>
      <w:lvlText w:val="%1."/>
      <w:lvlJc w:val="left"/>
      <w:pPr>
        <w:ind w:left="70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B2DE62C0">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F5B81CFC">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3D262C24">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A7003298">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452C0250">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0396FEDE">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0E74CA76">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B64E692C">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E82"/>
    <w:rsid w:val="000228E2"/>
    <w:rsid w:val="000A38A1"/>
    <w:rsid w:val="000E7040"/>
    <w:rsid w:val="00173E94"/>
    <w:rsid w:val="001805A7"/>
    <w:rsid w:val="00251D99"/>
    <w:rsid w:val="002C4CF1"/>
    <w:rsid w:val="002E0A51"/>
    <w:rsid w:val="002F152F"/>
    <w:rsid w:val="002F21CA"/>
    <w:rsid w:val="00325829"/>
    <w:rsid w:val="003652B6"/>
    <w:rsid w:val="003802A0"/>
    <w:rsid w:val="00435FA1"/>
    <w:rsid w:val="004832D2"/>
    <w:rsid w:val="00494A01"/>
    <w:rsid w:val="004B265A"/>
    <w:rsid w:val="004E79A5"/>
    <w:rsid w:val="005E42D9"/>
    <w:rsid w:val="005E4D60"/>
    <w:rsid w:val="00634116"/>
    <w:rsid w:val="006D550F"/>
    <w:rsid w:val="006F79C5"/>
    <w:rsid w:val="00762E42"/>
    <w:rsid w:val="007A2C3E"/>
    <w:rsid w:val="007D5904"/>
    <w:rsid w:val="007E5895"/>
    <w:rsid w:val="00873201"/>
    <w:rsid w:val="00883829"/>
    <w:rsid w:val="00954D04"/>
    <w:rsid w:val="00964425"/>
    <w:rsid w:val="00975E82"/>
    <w:rsid w:val="009A0D97"/>
    <w:rsid w:val="00AA1985"/>
    <w:rsid w:val="00B55DD6"/>
    <w:rsid w:val="00B92A32"/>
    <w:rsid w:val="00BC2320"/>
    <w:rsid w:val="00BE0345"/>
    <w:rsid w:val="00C00B50"/>
    <w:rsid w:val="00CB0A9C"/>
    <w:rsid w:val="00CE2C82"/>
    <w:rsid w:val="00CF5451"/>
    <w:rsid w:val="00DD0F0B"/>
    <w:rsid w:val="00E07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886A8"/>
  <w15:docId w15:val="{B48AFEA0-BCCE-4247-921E-A022D4454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56" w:line="261" w:lineRule="auto"/>
      <w:ind w:left="10" w:hanging="10"/>
    </w:pPr>
    <w:rPr>
      <w:rFonts w:ascii="Segoe UI" w:eastAsia="Segoe UI" w:hAnsi="Segoe UI" w:cs="Segoe UI"/>
      <w:color w:val="000000"/>
      <w:sz w:val="20"/>
    </w:rPr>
  </w:style>
  <w:style w:type="paragraph" w:styleId="Heading1">
    <w:name w:val="heading 1"/>
    <w:next w:val="Normal"/>
    <w:link w:val="Heading1Char"/>
    <w:uiPriority w:val="9"/>
    <w:unhideWhenUsed/>
    <w:qFormat/>
    <w:pPr>
      <w:keepNext/>
      <w:keepLines/>
      <w:spacing w:after="0"/>
      <w:ind w:left="10" w:hanging="10"/>
      <w:outlineLvl w:val="0"/>
    </w:pPr>
    <w:rPr>
      <w:rFonts w:ascii="Segoe UI" w:eastAsia="Segoe UI" w:hAnsi="Segoe UI" w:cs="Segoe UI"/>
      <w:b/>
      <w:color w:val="2D74B5"/>
      <w:sz w:val="28"/>
    </w:rPr>
  </w:style>
  <w:style w:type="paragraph" w:styleId="Heading2">
    <w:name w:val="heading 2"/>
    <w:next w:val="Normal"/>
    <w:link w:val="Heading2Char"/>
    <w:uiPriority w:val="9"/>
    <w:unhideWhenUsed/>
    <w:qFormat/>
    <w:pPr>
      <w:keepNext/>
      <w:keepLines/>
      <w:spacing w:after="14"/>
      <w:ind w:left="10" w:hanging="10"/>
      <w:outlineLvl w:val="1"/>
    </w:pPr>
    <w:rPr>
      <w:rFonts w:ascii="Segoe UI" w:eastAsia="Segoe UI" w:hAnsi="Segoe UI" w:cs="Segoe UI"/>
      <w:b/>
      <w:color w:val="1F4E79"/>
      <w:sz w:val="24"/>
    </w:rPr>
  </w:style>
  <w:style w:type="paragraph" w:styleId="Heading3">
    <w:name w:val="heading 3"/>
    <w:next w:val="Normal"/>
    <w:link w:val="Heading3Char"/>
    <w:uiPriority w:val="9"/>
    <w:unhideWhenUsed/>
    <w:qFormat/>
    <w:pPr>
      <w:keepNext/>
      <w:keepLines/>
      <w:spacing w:after="0"/>
      <w:ind w:left="10" w:hanging="10"/>
      <w:outlineLvl w:val="2"/>
    </w:pPr>
    <w:rPr>
      <w:rFonts w:ascii="Calibri" w:eastAsia="Calibri" w:hAnsi="Calibri" w:cs="Calibri"/>
      <w:b/>
      <w:color w:val="818181"/>
      <w:sz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818181"/>
      <w:sz w:val="14"/>
    </w:rPr>
  </w:style>
  <w:style w:type="character" w:customStyle="1" w:styleId="Heading2Char">
    <w:name w:val="Heading 2 Char"/>
    <w:link w:val="Heading2"/>
    <w:rPr>
      <w:rFonts w:ascii="Segoe UI" w:eastAsia="Segoe UI" w:hAnsi="Segoe UI" w:cs="Segoe UI"/>
      <w:b/>
      <w:color w:val="1F4E79"/>
      <w:sz w:val="24"/>
    </w:rPr>
  </w:style>
  <w:style w:type="character" w:customStyle="1" w:styleId="Heading1Char">
    <w:name w:val="Heading 1 Char"/>
    <w:link w:val="Heading1"/>
    <w:rPr>
      <w:rFonts w:ascii="Segoe UI" w:eastAsia="Segoe UI" w:hAnsi="Segoe UI" w:cs="Segoe UI"/>
      <w:b/>
      <w:color w:val="2D74B5"/>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D550F"/>
    <w:pPr>
      <w:ind w:left="720"/>
      <w:contextualSpacing/>
    </w:pPr>
  </w:style>
  <w:style w:type="paragraph" w:styleId="BalloonText">
    <w:name w:val="Balloon Text"/>
    <w:basedOn w:val="Normal"/>
    <w:link w:val="BalloonTextChar"/>
    <w:uiPriority w:val="99"/>
    <w:semiHidden/>
    <w:unhideWhenUsed/>
    <w:rsid w:val="005E42D9"/>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E42D9"/>
    <w:rPr>
      <w:rFonts w:ascii="Segoe UI" w:eastAsia="Segoe UI" w:hAnsi="Segoe UI" w:cs="Segoe UI"/>
      <w:color w:val="000000"/>
      <w:sz w:val="18"/>
      <w:szCs w:val="18"/>
    </w:rPr>
  </w:style>
  <w:style w:type="paragraph" w:styleId="Revision">
    <w:name w:val="Revision"/>
    <w:hidden/>
    <w:uiPriority w:val="99"/>
    <w:semiHidden/>
    <w:rsid w:val="002F21CA"/>
    <w:pPr>
      <w:spacing w:after="0" w:line="240" w:lineRule="auto"/>
    </w:pPr>
    <w:rPr>
      <w:rFonts w:ascii="Segoe UI" w:eastAsia="Segoe UI" w:hAnsi="Segoe UI" w:cs="Segoe UI"/>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665</Words>
  <Characters>3795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SmartResponse Plugin Guide - AD Account Management</vt:lpstr>
    </vt:vector>
  </TitlesOfParts>
  <Company/>
  <LinksUpToDate>false</LinksUpToDate>
  <CharactersWithSpaces>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SmartResponse Plugin Guide - AD Account Management</dc:title>
  <dc:subject/>
  <dc:creator>LogRhythm</dc:creator>
  <cp:keywords/>
  <cp:lastModifiedBy>Brian Coulson</cp:lastModifiedBy>
  <cp:revision>3</cp:revision>
  <dcterms:created xsi:type="dcterms:W3CDTF">2018-08-01T20:49:00Z</dcterms:created>
  <dcterms:modified xsi:type="dcterms:W3CDTF">2018-08-01T20:58:00Z</dcterms:modified>
</cp:coreProperties>
</file>