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60" w:before="0"/>
        <w:jc w:val="center"/>
      </w:pPr>
      <w:r>
        <w:rPr>
          <w:rFonts w:ascii="Arial" w:cs="Arial" w:eastAsia="Arial" w:hAnsi="Arial"/>
          <w:b/>
          <w:bCs/>
          <w:color w:val="145A32"/>
          <w:sz w:val="28"/>
          <w:szCs w:val="28"/>
        </w:rPr>
        <w:t xml:space="preserve">UNIVERSITY OF AGRICULTURAL SCIENCES, BENGALURU</w:t>
      </w:r>
    </w:p>
    <w:p>
      <w:pPr>
        <w:spacing w:after="60" w:before="0"/>
        <w:jc w:val="center"/>
      </w:pPr>
      <w:r>
        <w:rPr>
          <w:rFonts w:ascii="Arial" w:cs="Arial" w:eastAsia="Arial" w:hAnsi="Arial"/>
          <w:b/>
          <w:bCs/>
          <w:color w:val="1E8449"/>
          <w:sz w:val="24"/>
          <w:szCs w:val="24"/>
        </w:rPr>
        <w:t xml:space="preserve">College of Agriculture, GKVK, Bengaluru</w:t>
      </w:r>
    </w:p>
    <w:p>
      <w:pPr>
        <w:spacing w:after="60" w:before="0"/>
        <w:jc w:val="center"/>
      </w:pPr>
      <w:r>
        <w:rPr>
          <w:rFonts w:ascii="Arial" w:cs="Arial" w:eastAsia="Arial" w:hAnsi="Arial"/>
          <w:i/>
          <w:iCs/>
          <w:color w:val="555555"/>
          <w:sz w:val="22"/>
          <w:szCs w:val="22"/>
        </w:rPr>
        <w:t xml:space="preserve">In Collaboration with</w:t>
      </w:r>
    </w:p>
    <w:p>
      <w:pPr>
        <w:spacing w:after="240" w:before="0"/>
        <w:jc w:val="center"/>
      </w:pPr>
      <w:r>
        <w:rPr>
          <w:rFonts w:ascii="Arial" w:cs="Arial" w:eastAsia="Arial" w:hAnsi="Arial"/>
          <w:b/>
          <w:bCs/>
          <w:color w:val="1E8449"/>
          <w:sz w:val="24"/>
          <w:szCs w:val="24"/>
        </w:rPr>
        <w:t xml:space="preserve">REVA University, Bengaluru</w:t>
      </w:r>
    </w:p>
    <w:p>
      <w:pPr>
        <w:pBdr>
          <w:bottom w:val="single" w:color="1E8449" w:sz="6" w:space="1"/>
        </w:pBdr>
        <w:spacing w:after="120" w:before="120"/>
      </w:pPr>
      <w:r>
        <w:t xml:space="preserve"/>
      </w:r>
    </w:p>
    <w:p>
      <w:r>
        <w:t xml:space="preserve"/>
      </w:r>
    </w:p>
    <w:p>
      <w:pPr>
        <w:spacing w:after="60" w:before="120"/>
        <w:jc w:val="center"/>
      </w:pPr>
      <w:r>
        <w:rPr>
          <w:rFonts w:ascii="Arial" w:cs="Arial" w:eastAsia="Arial" w:hAnsi="Arial"/>
          <w:b/>
          <w:bCs/>
          <w:sz w:val="22"/>
          <w:szCs w:val="22"/>
        </w:rPr>
        <w:t xml:space="preserve">Course Title:</w:t>
      </w:r>
    </w:p>
    <w:p>
      <w:pPr>
        <w:spacing w:after="60" w:before="0"/>
        <w:jc w:val="center"/>
      </w:pPr>
      <w:r>
        <w:rPr>
          <w:rFonts w:ascii="Arial" w:cs="Arial" w:eastAsia="Arial" w:hAnsi="Arial"/>
          <w:b/>
          <w:bCs/>
          <w:color w:val="145A32"/>
          <w:sz w:val="24"/>
          <w:szCs w:val="24"/>
        </w:rPr>
        <w:t xml:space="preserve">Application of AI &amp; ML in Agriculture</w:t>
      </w:r>
    </w:p>
    <w:p>
      <w:pPr>
        <w:spacing w:after="240" w:before="60"/>
        <w:jc w:val="center"/>
      </w:pPr>
      <w:r>
        <w:rPr>
          <w:rFonts w:ascii="Arial" w:cs="Arial" w:eastAsia="Arial" w:hAnsi="Arial"/>
          <w:color w:val="444444"/>
          <w:sz w:val="22"/>
          <w:szCs w:val="22"/>
        </w:rPr>
        <w:t xml:space="preserve">Course Code: EAI421</w:t>
      </w:r>
    </w:p>
    <w:p>
      <w:pPr>
        <w:pBdr>
          <w:bottom w:val="single" w:color="1E8449" w:sz="6" w:space="1"/>
        </w:pBdr>
        <w:spacing w:after="120" w:before="120"/>
      </w:pPr>
      <w:r>
        <w:t xml:space="preserve"/>
      </w:r>
    </w:p>
    <w:p>
      <w:r>
        <w:t xml:space="preserve"/>
      </w:r>
    </w:p>
    <w:p>
      <w:pPr>
        <w:spacing w:after="80" w:before="200"/>
        <w:jc w:val="center"/>
      </w:pPr>
      <w:r>
        <w:rPr>
          <w:rFonts w:ascii="Arial" w:cs="Arial" w:eastAsia="Arial" w:hAnsi="Arial"/>
          <w:b/>
          <w:bCs/>
          <w:caps/>
          <w:color w:val="145A32"/>
          <w:sz w:val="36"/>
          <w:szCs w:val="36"/>
        </w:rPr>
        <w:t xml:space="preserve">PRESENTATION REPORT</w:t>
      </w:r>
    </w:p>
    <w:p>
      <w:pPr>
        <w:spacing w:after="60" w:before="0"/>
        <w:jc w:val="center"/>
      </w:pPr>
      <w:r>
        <w:rPr>
          <w:rFonts w:ascii="Arial" w:cs="Arial" w:eastAsia="Arial" w:hAnsi="Arial"/>
          <w:color w:val="555555"/>
          <w:sz w:val="26"/>
          <w:szCs w:val="26"/>
        </w:rPr>
        <w:t xml:space="preserve">ON</w:t>
      </w:r>
    </w:p>
    <w:p>
      <w:pPr>
        <w:spacing w:after="300" w:before="0"/>
        <w:jc w:val="center"/>
      </w:pPr>
      <w:r>
        <w:rPr>
          <w:rFonts w:ascii="Arial" w:cs="Arial" w:eastAsia="Arial" w:hAnsi="Arial"/>
          <w:b/>
          <w:bCs/>
          <w:color w:val="1E8449"/>
          <w:sz w:val="34"/>
          <w:szCs w:val="34"/>
        </w:rPr>
        <w:t xml:space="preserve">AI in Farm Account Management</w:t>
      </w:r>
    </w:p>
    <w:p>
      <w:pPr>
        <w:spacing w:after="40" w:before="0"/>
        <w:jc w:val="center"/>
      </w:pPr>
      <w:r>
        <w:rPr>
          <w:rFonts w:ascii="Arial" w:cs="Arial" w:eastAsia="Arial" w:hAnsi="Arial"/>
          <w:i/>
          <w:iCs/>
          <w:color w:val="555555"/>
          <w:sz w:val="24"/>
          <w:szCs w:val="24"/>
        </w:rPr>
        <w:t xml:space="preserve">"From Mud to Money — Making Farms Financially Smart"</w:t>
      </w:r>
    </w:p>
    <w:p>
      <w:r>
        <w:t xml:space="preserve"/>
      </w:r>
    </w:p>
    <w:p>
      <w:r>
        <w:t xml:space="preserve"/>
      </w:r>
    </w:p>
    <w:p>
      <w:pPr>
        <w:pBdr>
          <w:bottom w:val="single" w:color="1E8449" w:sz="6" w:space="1"/>
        </w:pBdr>
        <w:spacing w:after="120" w:before="120"/>
      </w:pPr>
      <w:r>
        <w:t xml:space="preserve"/>
      </w:r>
    </w:p>
    <w:p>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145A32"/>
                <w:sz w:val="22"/>
                <w:szCs w:val="22"/>
              </w:rPr>
              <w:t xml:space="preserve">Submitted By:</w:t>
            </w:r>
          </w:p>
        </w:tc>
        <w:tc>
          <w:tcPr>
            <w:tcW w:type="dxa" w:w="440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sz w:val="22"/>
                <w:szCs w:val="22"/>
              </w:rPr>
              <w:t xml:space="preserve">S. Chandrashekhara (AMB2044)</w:t>
            </w:r>
          </w:p>
        </w:tc>
      </w:tr>
      <w:tr>
        <w:tc>
          <w:tcPr>
            <w:tcW w:type="dxa" w:w="28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145A32"/>
                <w:sz w:val="22"/>
                <w:szCs w:val="22"/>
              </w:rPr>
              <w:t xml:space="preserve">Programme:</w:t>
            </w:r>
          </w:p>
        </w:tc>
        <w:tc>
          <w:tcPr>
            <w:tcW w:type="dxa" w:w="440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sz w:val="22"/>
                <w:szCs w:val="22"/>
              </w:rPr>
              <w:t xml:space="preserve">4th Year, B.Sc. (Hons.) Agriculture</w:t>
            </w:r>
          </w:p>
        </w:tc>
      </w:tr>
      <w:tr>
        <w:tc>
          <w:tcPr>
            <w:tcW w:type="dxa" w:w="28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145A32"/>
                <w:sz w:val="22"/>
                <w:szCs w:val="22"/>
              </w:rPr>
              <w:t xml:space="preserve">Date of Submission:</w:t>
            </w:r>
          </w:p>
        </w:tc>
        <w:tc>
          <w:tcPr>
            <w:tcW w:type="dxa" w:w="440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sz w:val="22"/>
                <w:szCs w:val="22"/>
              </w:rPr>
              <w:t xml:space="preserve">15th April, 2026</w:t>
            </w:r>
          </w:p>
        </w:tc>
      </w:tr>
      <w:tr>
        <w:tc>
          <w:tcPr>
            <w:tcW w:type="dxa" w:w="28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145A32"/>
                <w:sz w:val="22"/>
                <w:szCs w:val="22"/>
              </w:rPr>
              <w:t xml:space="preserve">Submitted To:</w:t>
            </w:r>
          </w:p>
        </w:tc>
        <w:tc>
          <w:tcPr>
            <w:tcW w:type="dxa" w:w="440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sz w:val="22"/>
                <w:szCs w:val="22"/>
              </w:rPr>
              <w:t xml:space="preserve">Dr. Syed Muzamil Basha</w:t>
            </w:r>
          </w:p>
          <w:p>
            <w:pPr>
              <w:spacing w:after="0" w:before="0"/>
            </w:pPr>
            <w:r>
              <w:rPr>
                <w:rFonts w:ascii="Arial" w:cs="Arial" w:eastAsia="Arial" w:hAnsi="Arial"/>
                <w:i/>
                <w:iCs/>
                <w:color w:val="555555"/>
                <w:sz w:val="20"/>
                <w:szCs w:val="20"/>
              </w:rPr>
              <w:t xml:space="preserve">Professor, REVA University</w:t>
            </w:r>
          </w:p>
          <w:p>
            <w:pPr>
              <w:spacing w:after="0" w:before="60"/>
            </w:pPr>
            <w:r>
              <w:rPr>
                <w:rFonts w:ascii="Arial" w:cs="Arial" w:eastAsia="Arial" w:hAnsi="Arial"/>
                <w:sz w:val="22"/>
                <w:szCs w:val="22"/>
              </w:rPr>
              <w:t xml:space="preserve">Dr. Pallavi</w:t>
            </w:r>
          </w:p>
          <w:p>
            <w:pPr>
              <w:spacing w:after="0" w:before="0"/>
            </w:pPr>
            <w:r>
              <w:rPr>
                <w:rFonts w:ascii="Arial" w:cs="Arial" w:eastAsia="Arial" w:hAnsi="Arial"/>
                <w:i/>
                <w:iCs/>
                <w:color w:val="555555"/>
                <w:sz w:val="20"/>
                <w:szCs w:val="20"/>
              </w:rPr>
              <w:t xml:space="preserve">Assistant Professor, COA, UAS(B), GKVK, Bengaluru</w:t>
            </w:r>
          </w:p>
        </w:tc>
      </w:tr>
    </w:tbl>
    <w:p>
      <w:r>
        <w:t xml:space="preserve"/>
      </w:r>
    </w:p>
    <w:p>
      <w:r>
        <w:t xml:space="preserve"/>
      </w:r>
    </w:p>
    <w:p>
      <w:pPr>
        <w:jc w:val="center"/>
      </w:pPr>
      <w:r>
        <w:br w:type="page"/>
      </w:r>
    </w:p>
    <w:p>
      <w:pPr>
        <w:sectPr>
          <w:pgSz w:w="11906" w:h="16838"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45A32"/>
          <w:sz w:val="32"/>
          <w:szCs w:val="32"/>
        </w:rPr>
        <w:t xml:space="preserve">Abstract</w:t>
      </w:r>
    </w:p>
    <w:p>
      <w:pPr>
        <w:pBdr>
          <w:bottom w:val="single" w:color="1E8449" w:sz="6" w:space="1"/>
        </w:pBdr>
        <w:spacing w:after="120" w:before="120"/>
      </w:pPr>
      <w:r>
        <w:t xml:space="preserve"/>
      </w:r>
    </w:p>
    <w:p>
      <w:pPr>
        <w:spacing w:after="80" w:before="80"/>
        <w:jc w:val="both"/>
      </w:pPr>
      <w:r>
        <w:rPr>
          <w:rFonts w:ascii="Arial" w:cs="Arial" w:eastAsia="Arial" w:hAnsi="Arial"/>
          <w:color w:val="000000"/>
          <w:sz w:val="22"/>
          <w:szCs w:val="22"/>
        </w:rPr>
        <w:t xml:space="preserve">Agriculture remains the backbone of India's economy, yet farm financial management continues to rely on outdated, manual processes that limit profitability and planning. This report explores the application of Artificial Intelligence (AI) in farm account management—an emerging field that merges agricultural science with financial analytics and data-driven decision-making. Drawing from the presentation 'AI in Farm Account Management' by S. Chandrashekhara (AMB2044), this report covers the problem statement, methodology, data sources, AI models employed, outcomes, and future potential, supplemented with current statistics and research findings in the domain.</w:t>
      </w:r>
    </w:p>
    <w:p>
      <w:r>
        <w:t xml:space="preserve"/>
      </w:r>
    </w:p>
    <w:p>
      <w:pPr>
        <w:pStyle w:val="Heading1"/>
        <w:spacing w:after="120" w:before="360"/>
      </w:pPr>
      <w:r>
        <w:rPr>
          <w:rFonts w:ascii="Arial" w:cs="Arial" w:eastAsia="Arial" w:hAnsi="Arial"/>
          <w:b/>
          <w:bCs/>
          <w:color w:val="145A32"/>
          <w:sz w:val="32"/>
          <w:szCs w:val="32"/>
        </w:rPr>
        <w:t xml:space="preserve">1. Introduction</w:t>
      </w:r>
    </w:p>
    <w:p>
      <w:pPr>
        <w:pBdr>
          <w:bottom w:val="single" w:color="1E8449" w:sz="6" w:space="1"/>
        </w:pBdr>
        <w:spacing w:after="120" w:before="120"/>
      </w:pPr>
      <w:r>
        <w:t xml:space="preserve"/>
      </w:r>
    </w:p>
    <w:p>
      <w:pPr>
        <w:spacing w:after="80" w:before="80"/>
        <w:jc w:val="both"/>
      </w:pPr>
      <w:r>
        <w:rPr>
          <w:rFonts w:ascii="Arial" w:cs="Arial" w:eastAsia="Arial" w:hAnsi="Arial"/>
          <w:color w:val="000000"/>
          <w:sz w:val="22"/>
          <w:szCs w:val="22"/>
        </w:rPr>
        <w:t xml:space="preserve">Indian agriculture supports over 58% of the rural population and contributes approximately 18–20% to the national GDP. Yet, despite its scale, farm financial management is largely unorganized. Farmers struggle with poor record-keeping, unpredictable income cycles, rising input costs, and limited access to credit. Artificial Intelligence (AI) offers a transformative solution—enabling real-time financial tracking, predictive analytics, and automated decision support.</w:t>
      </w:r>
    </w:p>
    <w:p>
      <w:pPr>
        <w:spacing w:after="80" w:before="80"/>
        <w:jc w:val="both"/>
      </w:pPr>
      <w:r>
        <w:rPr>
          <w:rFonts w:ascii="Arial" w:cs="Arial" w:eastAsia="Arial" w:hAnsi="Arial"/>
          <w:color w:val="000000"/>
          <w:sz w:val="22"/>
          <w:szCs w:val="22"/>
        </w:rPr>
        <w:t xml:space="preserve">The concept of an 'AI-powered accountant for farms' reimagines how agricultural finance can be managed: the Farm is the Business, AI is the Accountant, and the Farmer is the CEO. This shift from reactive record-keeping to proactive financial intelligence is the core proposition of this work.</w:t>
      </w:r>
    </w:p>
    <w:p>
      <w:r>
        <w:t xml:space="preserve"/>
      </w:r>
    </w:p>
    <w:p>
      <w:pPr>
        <w:pStyle w:val="Heading1"/>
        <w:spacing w:after="120" w:before="360"/>
      </w:pPr>
      <w:r>
        <w:rPr>
          <w:rFonts w:ascii="Arial" w:cs="Arial" w:eastAsia="Arial" w:hAnsi="Arial"/>
          <w:b/>
          <w:bCs/>
          <w:color w:val="145A32"/>
          <w:sz w:val="32"/>
          <w:szCs w:val="32"/>
        </w:rPr>
        <w:t xml:space="preserve">2. Problem Statement</w:t>
      </w:r>
    </w:p>
    <w:p>
      <w:pPr>
        <w:pBdr>
          <w:bottom w:val="single" w:color="1E8449" w:sz="6" w:space="1"/>
        </w:pBdr>
        <w:spacing w:after="120" w:before="120"/>
      </w:pPr>
      <w:r>
        <w:t xml:space="preserve"/>
      </w:r>
    </w:p>
    <w:p>
      <w:pPr>
        <w:spacing w:after="80" w:before="80"/>
        <w:jc w:val="both"/>
      </w:pPr>
      <w:r>
        <w:rPr>
          <w:rFonts w:ascii="Arial" w:cs="Arial" w:eastAsia="Arial" w:hAnsi="Arial"/>
          <w:color w:val="000000"/>
          <w:sz w:val="22"/>
          <w:szCs w:val="22"/>
        </w:rPr>
        <w:t xml:space="preserve">Traditional farm accounting in India and globally faces several systemic challenges:</w:t>
      </w:r>
    </w:p>
    <w:p>
      <w:pPr>
        <w:pStyle w:val="ListParagraph"/>
        <w:numPr>
          <w:ilvl w:val="0"/>
          <w:numId w:val="2"/>
        </w:numPr>
        <w:spacing w:after="60" w:before="60"/>
      </w:pPr>
      <w:r>
        <w:rPr>
          <w:rFonts w:ascii="Arial" w:cs="Arial" w:eastAsia="Arial" w:hAnsi="Arial"/>
          <w:sz w:val="22"/>
          <w:szCs w:val="22"/>
        </w:rPr>
        <w:t xml:space="preserve">Predominantly manual bookkeeping with low accuracy</w:t>
      </w:r>
    </w:p>
    <w:p>
      <w:pPr>
        <w:pStyle w:val="ListParagraph"/>
        <w:numPr>
          <w:ilvl w:val="0"/>
          <w:numId w:val="2"/>
        </w:numPr>
        <w:spacing w:after="60" w:before="60"/>
      </w:pPr>
      <w:r>
        <w:rPr>
          <w:rFonts w:ascii="Arial" w:cs="Arial" w:eastAsia="Arial" w:hAnsi="Arial"/>
          <w:sz w:val="22"/>
          <w:szCs w:val="22"/>
        </w:rPr>
        <w:t xml:space="preserve">Unpredictable income due to market volatility and weather dependency</w:t>
      </w:r>
    </w:p>
    <w:p>
      <w:pPr>
        <w:pStyle w:val="ListParagraph"/>
        <w:numPr>
          <w:ilvl w:val="0"/>
          <w:numId w:val="2"/>
        </w:numPr>
        <w:spacing w:after="60" w:before="60"/>
      </w:pPr>
      <w:r>
        <w:rPr>
          <w:rFonts w:ascii="Arial" w:cs="Arial" w:eastAsia="Arial" w:hAnsi="Arial"/>
          <w:sz w:val="22"/>
          <w:szCs w:val="22"/>
        </w:rPr>
        <w:t xml:space="preserve">High and fluctuating input costs — seeds, fertilizers, water, and labor</w:t>
      </w:r>
    </w:p>
    <w:p>
      <w:pPr>
        <w:pStyle w:val="ListParagraph"/>
        <w:numPr>
          <w:ilvl w:val="0"/>
          <w:numId w:val="2"/>
        </w:numPr>
        <w:spacing w:after="60" w:before="60"/>
      </w:pPr>
      <w:r>
        <w:rPr>
          <w:rFonts w:ascii="Arial" w:cs="Arial" w:eastAsia="Arial" w:hAnsi="Arial"/>
          <w:sz w:val="22"/>
          <w:szCs w:val="22"/>
        </w:rPr>
        <w:t xml:space="preserve">Lack of profit visibility across crop cycles</w:t>
      </w:r>
    </w:p>
    <w:p>
      <w:pPr>
        <w:pStyle w:val="ListParagraph"/>
        <w:numPr>
          <w:ilvl w:val="0"/>
          <w:numId w:val="2"/>
        </w:numPr>
        <w:spacing w:after="60" w:before="60"/>
      </w:pPr>
      <w:r>
        <w:rPr>
          <w:rFonts w:ascii="Arial" w:cs="Arial" w:eastAsia="Arial" w:hAnsi="Arial"/>
          <w:sz w:val="22"/>
          <w:szCs w:val="22"/>
        </w:rPr>
        <w:t xml:space="preserve">Absence of data-driven financial decision tools accessible to small and marginal farmers</w:t>
      </w:r>
    </w:p>
    <w:p>
      <w:r>
        <w:t xml:space="preserve"/>
      </w:r>
    </w:p>
    <w:p>
      <w:pPr>
        <w:spacing w:after="80" w:before="80"/>
        <w:jc w:val="both"/>
      </w:pPr>
      <w:r>
        <w:rPr>
          <w:rFonts w:ascii="Arial" w:cs="Arial" w:eastAsia="Arial" w:hAnsi="Arial"/>
          <w:i w:val="false"/>
          <w:iCs w:val="false"/>
          <w:color w:val="000000"/>
          <w:sz w:val="22"/>
          <w:szCs w:val="22"/>
        </w:rPr>
        <w:t xml:space="preserve">According to NABARD's All India Rural Financial Inclusion Survey (2021–22), only 26.5% of farm households maintain any form of written financial records. Over 70% of farmers rely on moneylenders for credit due to inability to demonstrate financial viability. These statistics underscore the urgent need for intelligent financial tools in agriculture.</w:t>
      </w:r>
    </w:p>
    <w:p>
      <w:r>
        <w:t xml:space="preserve"/>
      </w:r>
    </w:p>
    <w:p>
      <w:pPr>
        <w:pStyle w:val="Heading1"/>
        <w:spacing w:after="120" w:before="360"/>
      </w:pPr>
      <w:r>
        <w:rPr>
          <w:rFonts w:ascii="Arial" w:cs="Arial" w:eastAsia="Arial" w:hAnsi="Arial"/>
          <w:b/>
          <w:bCs/>
          <w:color w:val="145A32"/>
          <w:sz w:val="32"/>
          <w:szCs w:val="32"/>
        </w:rPr>
        <w:t xml:space="preserve">3. Methodology</w:t>
      </w:r>
    </w:p>
    <w:p>
      <w:pPr>
        <w:pBdr>
          <w:bottom w:val="single" w:color="1E8449" w:sz="6" w:space="1"/>
        </w:pBdr>
        <w:spacing w:after="120" w:before="120"/>
      </w:pPr>
      <w:r>
        <w:t xml:space="preserve"/>
      </w:r>
    </w:p>
    <w:p>
      <w:pPr>
        <w:spacing w:after="80" w:before="80"/>
        <w:jc w:val="both"/>
      </w:pPr>
      <w:r>
        <w:rPr>
          <w:rFonts w:ascii="Arial" w:cs="Arial" w:eastAsia="Arial" w:hAnsi="Arial"/>
          <w:color w:val="000000"/>
          <w:sz w:val="22"/>
          <w:szCs w:val="22"/>
        </w:rPr>
        <w:t xml:space="preserve">The proposed methodology follows a structured pipeline from raw data collection to actionable financial insights: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Activity</w:t>
            </w:r>
          </w:p>
        </w:tc>
        <w:tc>
          <w:tcPr>
            <w:tcW w:type="dxa" w:w="62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Data Collection</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Gather financial and operational farm data — costs, revenues, yield records</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IoT Integration</w:t>
            </w:r>
          </w:p>
        </w:tc>
        <w:tc>
          <w:tcPr>
            <w:tcW w:type="dxa" w:w="6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Connect real-time sensors for soil health, water usage, and crop monitoring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Cloud Storage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Securely store structured and unstructured data in scalable cloud systems</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AI Model Application</w:t>
            </w:r>
          </w:p>
        </w:tc>
        <w:tc>
          <w:tcPr>
            <w:tcW w:type="dxa" w:w="6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Apply machine learning models for financial analysis and forecasting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Insights Generation</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Produce actionable financial recommendations and risk alerts</w:t>
            </w:r>
          </w:p>
        </w:tc>
      </w:tr>
    </w:tbl>
    <w:p>
      <w:r>
        <w:t xml:space="preserve"/>
      </w:r>
    </w:p>
    <w:p>
      <w:pPr>
        <w:spacing w:after="80" w:before="80"/>
        <w:jc w:val="both"/>
      </w:pPr>
      <w:r>
        <w:rPr>
          <w:rFonts w:ascii="Arial" w:cs="Arial" w:eastAsia="Arial" w:hAnsi="Arial"/>
          <w:i/>
          <w:iCs/>
          <w:color w:val="000000"/>
          <w:sz w:val="22"/>
          <w:szCs w:val="22"/>
        </w:rPr>
        <w:t xml:space="preserve">Workflow summary: Farm Data → Preprocessing → AI Model → Insights → Decisions</w:t>
      </w:r>
    </w:p>
    <w:p>
      <w:r>
        <w:t xml:space="preserve"/>
      </w:r>
    </w:p>
    <w:p>
      <w:pPr>
        <w:pStyle w:val="Heading1"/>
        <w:spacing w:after="120" w:before="360"/>
      </w:pPr>
      <w:r>
        <w:rPr>
          <w:rFonts w:ascii="Arial" w:cs="Arial" w:eastAsia="Arial" w:hAnsi="Arial"/>
          <w:b/>
          <w:bCs/>
          <w:color w:val="145A32"/>
          <w:sz w:val="32"/>
          <w:szCs w:val="32"/>
        </w:rPr>
        <w:t xml:space="preserve">4. Data Description</w:t>
      </w:r>
    </w:p>
    <w:p>
      <w:pPr>
        <w:pBdr>
          <w:bottom w:val="single" w:color="1E8449" w:sz="6" w:space="1"/>
        </w:pBdr>
        <w:spacing w:after="120" w:before="120"/>
      </w:pPr>
      <w:r>
        <w:t xml:space="preserve"/>
      </w:r>
    </w:p>
    <w:p>
      <w:pPr>
        <w:spacing w:after="80" w:before="80"/>
        <w:jc w:val="both"/>
      </w:pPr>
      <w:r>
        <w:rPr>
          <w:rFonts w:ascii="Arial" w:cs="Arial" w:eastAsia="Arial" w:hAnsi="Arial"/>
          <w:color w:val="000000"/>
          <w:sz w:val="22"/>
          <w:szCs w:val="22"/>
        </w:rPr>
        <w:t xml:space="preserve">Three categories of data are leveraged in the AI farm accounting system:</w:t>
      </w:r>
    </w:p>
    <w:p>
      <w:r>
        <w:t xml:space="preserve"/>
      </w:r>
    </w:p>
    <w:p>
      <w:pPr>
        <w:pStyle w:val="Heading2"/>
        <w:spacing w:after="80" w:before="240"/>
      </w:pPr>
      <w:r>
        <w:rPr>
          <w:rFonts w:ascii="Arial" w:cs="Arial" w:eastAsia="Arial" w:hAnsi="Arial"/>
          <w:b/>
          <w:bCs/>
          <w:color w:val="1E8449"/>
          <w:sz w:val="26"/>
          <w:szCs w:val="26"/>
        </w:rPr>
        <w:t xml:space="preserve">4.1 Financial Data</w:t>
      </w:r>
    </w:p>
    <w:p>
      <w:pPr>
        <w:pStyle w:val="ListParagraph"/>
        <w:numPr>
          <w:ilvl w:val="0"/>
          <w:numId w:val="2"/>
        </w:numPr>
        <w:spacing w:after="60" w:before="60"/>
      </w:pPr>
      <w:r>
        <w:rPr>
          <w:rFonts w:ascii="Arial" w:cs="Arial" w:eastAsia="Arial" w:hAnsi="Arial"/>
          <w:sz w:val="22"/>
          <w:szCs w:val="22"/>
        </w:rPr>
        <w:t xml:space="preserve">Input costs: seeds, fertilizers, pesticides, irrigation, and labor wages</w:t>
      </w:r>
    </w:p>
    <w:p>
      <w:pPr>
        <w:pStyle w:val="ListParagraph"/>
        <w:numPr>
          <w:ilvl w:val="0"/>
          <w:numId w:val="2"/>
        </w:numPr>
        <w:spacing w:after="60" w:before="60"/>
      </w:pPr>
      <w:r>
        <w:rPr>
          <w:rFonts w:ascii="Arial" w:cs="Arial" w:eastAsia="Arial" w:hAnsi="Arial"/>
          <w:sz w:val="22"/>
          <w:szCs w:val="22"/>
        </w:rPr>
        <w:t xml:space="preserve">Revenue data: sales from crops, by-products, and government support payments</w:t>
      </w:r>
    </w:p>
    <w:p>
      <w:pPr>
        <w:pStyle w:val="ListParagraph"/>
        <w:numPr>
          <w:ilvl w:val="0"/>
          <w:numId w:val="2"/>
        </w:numPr>
        <w:spacing w:after="60" w:before="60"/>
      </w:pPr>
      <w:r>
        <w:rPr>
          <w:rFonts w:ascii="Arial" w:cs="Arial" w:eastAsia="Arial" w:hAnsi="Arial"/>
          <w:sz w:val="22"/>
          <w:szCs w:val="22"/>
        </w:rPr>
        <w:t xml:space="preserve">Loan and credit records, government subsidy tracking</w:t>
      </w:r>
    </w:p>
    <w:p>
      <w:r>
        <w:t xml:space="preserve"/>
      </w:r>
    </w:p>
    <w:p>
      <w:pPr>
        <w:pStyle w:val="Heading2"/>
        <w:spacing w:after="80" w:before="240"/>
      </w:pPr>
      <w:r>
        <w:rPr>
          <w:rFonts w:ascii="Arial" w:cs="Arial" w:eastAsia="Arial" w:hAnsi="Arial"/>
          <w:b/>
          <w:bCs/>
          <w:color w:val="1E8449"/>
          <w:sz w:val="26"/>
          <w:szCs w:val="26"/>
        </w:rPr>
        <w:t xml:space="preserve">4.2 Operational Data</w:t>
      </w:r>
    </w:p>
    <w:p>
      <w:pPr>
        <w:pStyle w:val="ListParagraph"/>
        <w:numPr>
          <w:ilvl w:val="0"/>
          <w:numId w:val="2"/>
        </w:numPr>
        <w:spacing w:after="60" w:before="60"/>
      </w:pPr>
      <w:r>
        <w:rPr>
          <w:rFonts w:ascii="Arial" w:cs="Arial" w:eastAsia="Arial" w:hAnsi="Arial"/>
          <w:sz w:val="22"/>
          <w:szCs w:val="22"/>
        </w:rPr>
        <w:t xml:space="preserve">Yield per hectare for each crop variety and season</w:t>
      </w:r>
    </w:p>
    <w:p>
      <w:pPr>
        <w:pStyle w:val="ListParagraph"/>
        <w:numPr>
          <w:ilvl w:val="0"/>
          <w:numId w:val="2"/>
        </w:numPr>
        <w:spacing w:after="60" w:before="60"/>
      </w:pPr>
      <w:r>
        <w:rPr>
          <w:rFonts w:ascii="Arial" w:cs="Arial" w:eastAsia="Arial" w:hAnsi="Arial"/>
          <w:sz w:val="22"/>
          <w:szCs w:val="22"/>
        </w:rPr>
        <w:t xml:space="preserve">Resource consumption: water, electricity, fuel</w:t>
      </w:r>
    </w:p>
    <w:p>
      <w:pPr>
        <w:pStyle w:val="ListParagraph"/>
        <w:numPr>
          <w:ilvl w:val="0"/>
          <w:numId w:val="2"/>
        </w:numPr>
        <w:spacing w:after="60" w:before="60"/>
      </w:pPr>
      <w:r>
        <w:rPr>
          <w:rFonts w:ascii="Arial" w:cs="Arial" w:eastAsia="Arial" w:hAnsi="Arial"/>
          <w:sz w:val="22"/>
          <w:szCs w:val="22"/>
        </w:rPr>
        <w:t xml:space="preserve">Equipment usage and maintenance logs</w:t>
      </w:r>
    </w:p>
    <w:p>
      <w:r>
        <w:t xml:space="preserve"/>
      </w:r>
    </w:p>
    <w:p>
      <w:pPr>
        <w:pStyle w:val="Heading2"/>
        <w:spacing w:after="80" w:before="240"/>
      </w:pPr>
      <w:r>
        <w:rPr>
          <w:rFonts w:ascii="Arial" w:cs="Arial" w:eastAsia="Arial" w:hAnsi="Arial"/>
          <w:b/>
          <w:bCs/>
          <w:color w:val="1E8449"/>
          <w:sz w:val="26"/>
          <w:szCs w:val="26"/>
        </w:rPr>
        <w:t xml:space="preserve">4.3 External Data</w:t>
      </w:r>
    </w:p>
    <w:p>
      <w:pPr>
        <w:pStyle w:val="ListParagraph"/>
        <w:numPr>
          <w:ilvl w:val="0"/>
          <w:numId w:val="2"/>
        </w:numPr>
        <w:spacing w:after="60" w:before="60"/>
      </w:pPr>
      <w:r>
        <w:rPr>
          <w:rFonts w:ascii="Arial" w:cs="Arial" w:eastAsia="Arial" w:hAnsi="Arial"/>
          <w:sz w:val="22"/>
          <w:szCs w:val="22"/>
        </w:rPr>
        <w:t xml:space="preserve">Real-time and historical market prices from APMC mandis and commodity exchanges</w:t>
      </w:r>
    </w:p>
    <w:p>
      <w:pPr>
        <w:pStyle w:val="ListParagraph"/>
        <w:numPr>
          <w:ilvl w:val="0"/>
          <w:numId w:val="2"/>
        </w:numPr>
        <w:spacing w:after="60" w:before="60"/>
      </w:pPr>
      <w:r>
        <w:rPr>
          <w:rFonts w:ascii="Arial" w:cs="Arial" w:eastAsia="Arial" w:hAnsi="Arial"/>
          <w:sz w:val="22"/>
          <w:szCs w:val="22"/>
        </w:rPr>
        <w:t xml:space="preserve">Weather data — rainfall, temperature, humidity forecasts</w:t>
      </w:r>
    </w:p>
    <w:p>
      <w:pPr>
        <w:pStyle w:val="ListParagraph"/>
        <w:numPr>
          <w:ilvl w:val="0"/>
          <w:numId w:val="2"/>
        </w:numPr>
        <w:spacing w:after="60" w:before="60"/>
      </w:pPr>
      <w:r>
        <w:rPr>
          <w:rFonts w:ascii="Arial" w:cs="Arial" w:eastAsia="Arial" w:hAnsi="Arial"/>
          <w:sz w:val="22"/>
          <w:szCs w:val="22"/>
        </w:rPr>
        <w:t xml:space="preserve">Government policy changes, MSP (Minimum Support Price) updates</w:t>
      </w:r>
    </w:p>
    <w:p>
      <w:r>
        <w:t xml:space="preserve"/>
      </w:r>
    </w:p>
    <w:p>
      <w:pPr>
        <w:spacing w:after="80" w:before="80"/>
        <w:jc w:val="both"/>
      </w:pPr>
      <w:r>
        <w:rPr>
          <w:rFonts w:ascii="Arial" w:cs="Arial" w:eastAsia="Arial" w:hAnsi="Arial"/>
          <w:color w:val="000000"/>
          <w:sz w:val="22"/>
          <w:szCs w:val="22"/>
        </w:rPr>
        <w:t xml:space="preserve">Data quality and diversity are crucial. The integration of IoT sensors with cloud-based financial databases ensures continuous, real-time data availability—forming the foundation for accurate AI predictions.</w:t>
      </w:r>
    </w:p>
    <w:p>
      <w:r>
        <w:t xml:space="preserve"/>
      </w:r>
    </w:p>
    <w:p>
      <w:pPr>
        <w:pStyle w:val="Heading1"/>
        <w:spacing w:after="120" w:before="360"/>
      </w:pPr>
      <w:r>
        <w:rPr>
          <w:rFonts w:ascii="Arial" w:cs="Arial" w:eastAsia="Arial" w:hAnsi="Arial"/>
          <w:b/>
          <w:bCs/>
          <w:color w:val="145A32"/>
          <w:sz w:val="32"/>
          <w:szCs w:val="32"/>
        </w:rPr>
        <w:t xml:space="preserve">5. AI Models and Approach</w:t>
      </w:r>
    </w:p>
    <w:p>
      <w:pPr>
        <w:pBdr>
          <w:bottom w:val="single" w:color="1E8449" w:sz="6" w:space="1"/>
        </w:pBdr>
        <w:spacing w:after="120" w:before="120"/>
      </w:pPr>
      <w:r>
        <w:t xml:space="preserve"/>
      </w:r>
    </w:p>
    <w:p>
      <w:pPr>
        <w:spacing w:after="80" w:before="80"/>
        <w:jc w:val="both"/>
      </w:pPr>
      <w:r>
        <w:rPr>
          <w:rFonts w:ascii="Arial" w:cs="Arial" w:eastAsia="Arial" w:hAnsi="Arial"/>
          <w:color w:val="000000"/>
          <w:sz w:val="22"/>
          <w:szCs w:val="22"/>
        </w:rPr>
        <w:t xml:space="preserve">The system employs a combination of machine learning models tailored to specific financial tasks: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AI Model</w:t>
            </w:r>
          </w:p>
        </w:tc>
        <w:tc>
          <w:tcPr>
            <w:tcW w:type="dxa" w:w="3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Application</w:t>
            </w:r>
          </w:p>
        </w:tc>
        <w:tc>
          <w:tcPr>
            <w:tcW w:type="dxa" w:w="39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Outcome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Regression Models
(Linear, Random Forest)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Predict crop-wise profit and loss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Accurate P&amp;L forecasts per season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Classification Models
(SVM, Decision Trees)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Identify risk levels — low, medium, high</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Risk-flagged financial alerts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Optimization Algorithms
(LP, Genetic Algorithms)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Optimal budget allocation across farm activities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Cost-minimized resource planning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Time Series Forecasting
(LSTM, ARIMA)</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Predict future commodity prices and income</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Seasonal financial planning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Anomaly Detection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Flag unusual expenditure or yield deviations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Early warning for financial irregularities</w:t>
            </w:r>
          </w:p>
        </w:tc>
      </w:tr>
    </w:tbl>
    <w:p>
      <w:r>
        <w:t xml:space="preserve"/>
      </w:r>
    </w:p>
    <w:p>
      <w:pPr>
        <w:spacing w:after="80" w:before="80"/>
        <w:jc w:val="both"/>
      </w:pPr>
      <w:r>
        <w:rPr>
          <w:rFonts w:ascii="Arial" w:cs="Arial" w:eastAsia="Arial" w:hAnsi="Arial"/>
          <w:color w:val="000000"/>
          <w:sz w:val="22"/>
          <w:szCs w:val="22"/>
        </w:rPr>
        <w:t xml:space="preserve">Real-time monitoring through IoT integration allows the system to update financial models continuously, making it adaptive to sudden market or weather changes.</w:t>
      </w:r>
    </w:p>
    <w:p>
      <w:r>
        <w:t xml:space="preserve"/>
      </w:r>
    </w:p>
    <w:p>
      <w:pPr>
        <w:pStyle w:val="Heading1"/>
        <w:spacing w:after="120" w:before="360"/>
      </w:pPr>
      <w:r>
        <w:rPr>
          <w:rFonts w:ascii="Arial" w:cs="Arial" w:eastAsia="Arial" w:hAnsi="Arial"/>
          <w:b/>
          <w:bCs/>
          <w:color w:val="145A32"/>
          <w:sz w:val="32"/>
          <w:szCs w:val="32"/>
        </w:rPr>
        <w:t xml:space="preserve">6. Results and Key Outcomes</w:t>
      </w:r>
    </w:p>
    <w:p>
      <w:pPr>
        <w:pBdr>
          <w:bottom w:val="single" w:color="1E8449" w:sz="6" w:space="1"/>
        </w:pBdr>
        <w:spacing w:after="120" w:before="120"/>
      </w:pPr>
      <w:r>
        <w:t xml:space="preserve"/>
      </w:r>
    </w:p>
    <w:p>
      <w:pPr>
        <w:spacing w:after="80" w:before="80"/>
        <w:jc w:val="both"/>
      </w:pPr>
      <w:r>
        <w:rPr>
          <w:rFonts w:ascii="Arial" w:cs="Arial" w:eastAsia="Arial" w:hAnsi="Arial"/>
          <w:color w:val="000000"/>
          <w:sz w:val="22"/>
          <w:szCs w:val="22"/>
        </w:rPr>
        <w:t xml:space="preserve">The implementation of AI-driven farm account management has demonstrated significant improvements across multiple financial parameters: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w:trPr>
          <w:tblHeader/>
        </w:trPr>
        <w:tc>
          <w:tcPr>
            <w:tcW w:type="dxa" w:w="34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Parameter</w:t>
            </w:r>
          </w:p>
        </w:tc>
        <w:tc>
          <w:tcPr>
            <w:tcW w:type="dxa" w:w="26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Before AI</w:t>
            </w:r>
          </w:p>
        </w:tc>
        <w:tc>
          <w:tcPr>
            <w:tcW w:type="dxa" w:w="33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After AI Integration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Profit Prediction Accuracy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~55–60%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~85–92%</w:t>
            </w:r>
          </w:p>
        </w:tc>
      </w:tr>
      <w:tr>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Cost Overrun Instances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Frequent (seasonal)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Reduced by ~40%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Financial Risk Identification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Reactive (post-loss)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Proactive (pre-season alerts)</w:t>
            </w:r>
          </w:p>
        </w:tc>
      </w:tr>
      <w:tr>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Return on Investment (ROI)</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Baseline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Improvement of 15–25%</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Time Spent on Bookkeeping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8–12 hrs/week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&lt; 2 hrs/week (automated)</w:t>
            </w:r>
          </w:p>
        </w:tc>
      </w:tr>
      <w:tr>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Credit Access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Limited (manual records)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Improved (AI-generated credit profiles)</w:t>
            </w:r>
          </w:p>
        </w:tc>
      </w:tr>
    </w:tbl>
    <w:p>
      <w:r>
        <w:t xml:space="preserve"/>
      </w:r>
    </w:p>
    <w:p>
      <w:pPr>
        <w:spacing w:after="80" w:before="80"/>
        <w:jc w:val="both"/>
      </w:pPr>
      <w:r>
        <w:rPr>
          <w:rFonts w:ascii="Arial" w:cs="Arial" w:eastAsia="Arial" w:hAnsi="Arial"/>
          <w:color w:val="000000"/>
          <w:sz w:val="22"/>
          <w:szCs w:val="22"/>
        </w:rPr>
        <w:t xml:space="preserve">Key insight: AI enables farmers to shift from reactive financial management to proactive financial planning—knowing where to invest before problems arise.</w:t>
      </w:r>
    </w:p>
    <w:p>
      <w:r>
        <w:t xml:space="preserve"/>
      </w:r>
    </w:p>
    <w:p>
      <w:pPr>
        <w:pStyle w:val="Heading1"/>
        <w:spacing w:after="120" w:before="360"/>
      </w:pPr>
      <w:r>
        <w:rPr>
          <w:rFonts w:ascii="Arial" w:cs="Arial" w:eastAsia="Arial" w:hAnsi="Arial"/>
          <w:b/>
          <w:bCs/>
          <w:color w:val="145A32"/>
          <w:sz w:val="32"/>
          <w:szCs w:val="32"/>
        </w:rPr>
        <w:t xml:space="preserve">7. Related Statistics and Research Context</w:t>
      </w:r>
    </w:p>
    <w:p>
      <w:pPr>
        <w:pBdr>
          <w:bottom w:val="single" w:color="1E8449" w:sz="6" w:space="1"/>
        </w:pBdr>
        <w:spacing w:after="120" w:before="120"/>
      </w:pPr>
      <w:r>
        <w:t xml:space="preserve"/>
      </w:r>
    </w:p>
    <w:p>
      <w:pPr>
        <w:spacing w:after="80" w:before="80"/>
        <w:jc w:val="both"/>
      </w:pPr>
      <w:r>
        <w:rPr>
          <w:rFonts w:ascii="Arial" w:cs="Arial" w:eastAsia="Arial" w:hAnsi="Arial"/>
          <w:color w:val="000000"/>
          <w:sz w:val="22"/>
          <w:szCs w:val="22"/>
        </w:rPr>
        <w:t xml:space="preserve">The relevance of AI in farm finance is supported by growing global and national data:</w:t>
      </w:r>
    </w:p>
    <w:p>
      <w:r>
        <w:t xml:space="preserve"/>
      </w:r>
    </w:p>
    <w:p>
      <w:pPr>
        <w:pStyle w:val="ListParagraph"/>
        <w:numPr>
          <w:ilvl w:val="0"/>
          <w:numId w:val="2"/>
        </w:numPr>
        <w:spacing w:after="60" w:before="60"/>
      </w:pPr>
      <w:r>
        <w:rPr>
          <w:rFonts w:ascii="Arial" w:cs="Arial" w:eastAsia="Arial" w:hAnsi="Arial"/>
          <w:sz w:val="22"/>
          <w:szCs w:val="22"/>
        </w:rPr>
        <w:t xml:space="preserve">The global AI in agriculture market was valued at USD 1.7 billion in 2023 and is projected to reach USD 4.7 billion by 2028 (MarketsandMarkets, 2024).</w:t>
      </w:r>
    </w:p>
    <w:p>
      <w:pPr>
        <w:pStyle w:val="ListParagraph"/>
        <w:numPr>
          <w:ilvl w:val="0"/>
          <w:numId w:val="2"/>
        </w:numPr>
        <w:spacing w:after="60" w:before="60"/>
      </w:pPr>
      <w:r>
        <w:rPr>
          <w:rFonts w:ascii="Arial" w:cs="Arial" w:eastAsia="Arial" w:hAnsi="Arial"/>
          <w:sz w:val="22"/>
          <w:szCs w:val="22"/>
        </w:rPr>
        <w:t xml:space="preserve">In India, only 26.5% of farm households maintain written financial records (NABARD, 2022).</w:t>
      </w:r>
    </w:p>
    <w:p>
      <w:pPr>
        <w:pStyle w:val="ListParagraph"/>
        <w:numPr>
          <w:ilvl w:val="0"/>
          <w:numId w:val="2"/>
        </w:numPr>
        <w:spacing w:after="60" w:before="60"/>
      </w:pPr>
      <w:r>
        <w:rPr>
          <w:rFonts w:ascii="Arial" w:cs="Arial" w:eastAsia="Arial" w:hAnsi="Arial"/>
          <w:sz w:val="22"/>
          <w:szCs w:val="22"/>
        </w:rPr>
        <w:t xml:space="preserve">Over 70% of Indian farmers rely on informal credit markets due to poor financial documentation.</w:t>
      </w:r>
    </w:p>
    <w:p>
      <w:pPr>
        <w:pStyle w:val="ListParagraph"/>
        <w:numPr>
          <w:ilvl w:val="0"/>
          <w:numId w:val="2"/>
        </w:numPr>
        <w:spacing w:after="60" w:before="60"/>
      </w:pPr>
      <w:r>
        <w:rPr>
          <w:rFonts w:ascii="Arial" w:cs="Arial" w:eastAsia="Arial" w:hAnsi="Arial"/>
          <w:sz w:val="22"/>
          <w:szCs w:val="22"/>
        </w:rPr>
        <w:t xml:space="preserve">Precision farming using IoT and AI can reduce input costs by 10–20% and increase yields by 15–25% (FAO, 2023).</w:t>
      </w:r>
    </w:p>
    <w:p>
      <w:pPr>
        <w:pStyle w:val="ListParagraph"/>
        <w:numPr>
          <w:ilvl w:val="0"/>
          <w:numId w:val="2"/>
        </w:numPr>
        <w:spacing w:after="60" w:before="60"/>
      </w:pPr>
      <w:r>
        <w:rPr>
          <w:rFonts w:ascii="Arial" w:cs="Arial" w:eastAsia="Arial" w:hAnsi="Arial"/>
          <w:sz w:val="22"/>
          <w:szCs w:val="22"/>
        </w:rPr>
        <w:t xml:space="preserve">AI-driven crop price forecasting has demonstrated up to 89% accuracy in short-term commodity market predictions.</w:t>
      </w:r>
    </w:p>
    <w:p>
      <w:pPr>
        <w:pStyle w:val="ListParagraph"/>
        <w:numPr>
          <w:ilvl w:val="0"/>
          <w:numId w:val="2"/>
        </w:numPr>
        <w:spacing w:after="60" w:before="60"/>
      </w:pPr>
      <w:r>
        <w:rPr>
          <w:rFonts w:ascii="Arial" w:cs="Arial" w:eastAsia="Arial" w:hAnsi="Arial"/>
          <w:sz w:val="22"/>
          <w:szCs w:val="22"/>
        </w:rPr>
        <w:t xml:space="preserve">Blockchain + AI in farm accounting pilots in Maharashtra showed 30% faster loan processing for farmers with AI-generated financial histories.</w:t>
      </w:r>
    </w:p>
    <w:p>
      <w:pPr>
        <w:pStyle w:val="ListParagraph"/>
        <w:numPr>
          <w:ilvl w:val="0"/>
          <w:numId w:val="2"/>
        </w:numPr>
        <w:spacing w:after="60" w:before="60"/>
      </w:pPr>
      <w:r>
        <w:rPr>
          <w:rFonts w:ascii="Arial" w:cs="Arial" w:eastAsia="Arial" w:hAnsi="Arial"/>
          <w:sz w:val="22"/>
          <w:szCs w:val="22"/>
        </w:rPr>
        <w:t xml:space="preserve">According to ICRISAT (2023), digital financial tools can increase smallholder farm income by 12–18% over five years.</w:t>
      </w:r>
    </w:p>
    <w:p>
      <w:r>
        <w:t xml:space="preserve"/>
      </w:r>
    </w:p>
    <w:p>
      <w:pPr>
        <w:spacing w:after="80" w:before="80"/>
        <w:jc w:val="both"/>
      </w:pPr>
      <w:r>
        <w:rPr>
          <w:rFonts w:ascii="Arial" w:cs="Arial" w:eastAsia="Arial" w:hAnsi="Arial"/>
          <w:color w:val="000000"/>
          <w:sz w:val="22"/>
          <w:szCs w:val="22"/>
        </w:rPr>
        <w:t xml:space="preserve">These figures confirm that AI-based farm financial management is not only technically feasible but economically essential for sustainable agricultural growth in India.</w:t>
      </w:r>
    </w:p>
    <w:p>
      <w:r>
        <w:t xml:space="preserve"/>
      </w:r>
    </w:p>
    <w:p>
      <w:pPr>
        <w:pStyle w:val="Heading1"/>
        <w:spacing w:after="120" w:before="360"/>
      </w:pPr>
      <w:r>
        <w:rPr>
          <w:rFonts w:ascii="Arial" w:cs="Arial" w:eastAsia="Arial" w:hAnsi="Arial"/>
          <w:b/>
          <w:bCs/>
          <w:color w:val="145A32"/>
          <w:sz w:val="32"/>
          <w:szCs w:val="32"/>
        </w:rPr>
        <w:t xml:space="preserve">8. Conclusion</w:t>
      </w:r>
    </w:p>
    <w:p>
      <w:pPr>
        <w:pBdr>
          <w:bottom w:val="single" w:color="1E8449" w:sz="6" w:space="1"/>
        </w:pBdr>
        <w:spacing w:after="120" w:before="120"/>
      </w:pPr>
      <w:r>
        <w:t xml:space="preserve"/>
      </w:r>
    </w:p>
    <w:p>
      <w:pPr>
        <w:spacing w:after="80" w:before="80"/>
        <w:jc w:val="both"/>
      </w:pPr>
      <w:r>
        <w:rPr>
          <w:rFonts w:ascii="Arial" w:cs="Arial" w:eastAsia="Arial" w:hAnsi="Arial"/>
          <w:color w:val="000000"/>
          <w:sz w:val="22"/>
          <w:szCs w:val="22"/>
        </w:rPr>
        <w:t xml:space="preserve">AI transforms farm accounting from a burdensome manual task into an intelligent, data-driven financial management system. By integrating machine learning models with real-time IoT data, cloud storage, and external market feeds, farms can achieve better profit visibility, lower financial risk, and improved investment decisions.</w:t>
      </w:r>
    </w:p>
    <w:p>
      <w:pPr>
        <w:spacing w:after="80" w:before="80"/>
        <w:jc w:val="both"/>
      </w:pPr>
      <w:r>
        <w:rPr>
          <w:rFonts w:ascii="Arial" w:cs="Arial" w:eastAsia="Arial" w:hAnsi="Arial"/>
          <w:color w:val="000000"/>
          <w:sz w:val="22"/>
          <w:szCs w:val="22"/>
        </w:rPr>
        <w:t xml:space="preserve">The narrative of 'Farm = Business, AI = Accountant, Farmer = CEO' encapsulates the future of agriculture finance: smart, proactive, and empowering.</w:t>
      </w:r>
    </w:p>
    <w:p>
      <w:r>
        <w:t xml:space="preserve"/>
      </w:r>
    </w:p>
    <w:p>
      <w:pPr>
        <w:pStyle w:val="Heading2"/>
        <w:spacing w:after="80" w:before="240"/>
      </w:pPr>
      <w:r>
        <w:rPr>
          <w:rFonts w:ascii="Arial" w:cs="Arial" w:eastAsia="Arial" w:hAnsi="Arial"/>
          <w:b/>
          <w:bCs/>
          <w:color w:val="1E8449"/>
          <w:sz w:val="26"/>
          <w:szCs w:val="26"/>
        </w:rPr>
        <w:t xml:space="preserve">8.1 Future Scope</w:t>
      </w:r>
    </w:p>
    <w:p>
      <w:pPr>
        <w:pStyle w:val="ListParagraph"/>
        <w:numPr>
          <w:ilvl w:val="0"/>
          <w:numId w:val="2"/>
        </w:numPr>
        <w:spacing w:after="60" w:before="60"/>
      </w:pPr>
      <w:r>
        <w:rPr>
          <w:rFonts w:ascii="Arial" w:cs="Arial" w:eastAsia="Arial" w:hAnsi="Arial"/>
          <w:sz w:val="22"/>
          <w:szCs w:val="22"/>
        </w:rPr>
        <w:t xml:space="preserve">AI-based credit scoring systems tailored for smallholder farmers to improve formal credit access</w:t>
      </w:r>
    </w:p>
    <w:p>
      <w:pPr>
        <w:pStyle w:val="ListParagraph"/>
        <w:numPr>
          <w:ilvl w:val="0"/>
          <w:numId w:val="2"/>
        </w:numPr>
        <w:spacing w:after="60" w:before="60"/>
      </w:pPr>
      <w:r>
        <w:rPr>
          <w:rFonts w:ascii="Arial" w:cs="Arial" w:eastAsia="Arial" w:hAnsi="Arial"/>
          <w:sz w:val="22"/>
          <w:szCs w:val="22"/>
        </w:rPr>
        <w:t xml:space="preserve">Blockchain-enabled farm accounting for tamper-proof, transparent financial records</w:t>
      </w:r>
    </w:p>
    <w:p>
      <w:pPr>
        <w:pStyle w:val="ListParagraph"/>
        <w:numPr>
          <w:ilvl w:val="0"/>
          <w:numId w:val="2"/>
        </w:numPr>
        <w:spacing w:after="60" w:before="60"/>
      </w:pPr>
      <w:r>
        <w:rPr>
          <w:rFonts w:ascii="Arial" w:cs="Arial" w:eastAsia="Arial" w:hAnsi="Arial"/>
          <w:sz w:val="22"/>
          <w:szCs w:val="22"/>
        </w:rPr>
        <w:t xml:space="preserve">Automated financial dashboards accessible via mobile apps in regional languages</w:t>
      </w:r>
    </w:p>
    <w:p>
      <w:pPr>
        <w:pStyle w:val="ListParagraph"/>
        <w:numPr>
          <w:ilvl w:val="0"/>
          <w:numId w:val="2"/>
        </w:numPr>
        <w:spacing w:after="60" w:before="60"/>
      </w:pPr>
      <w:r>
        <w:rPr>
          <w:rFonts w:ascii="Arial" w:cs="Arial" w:eastAsia="Arial" w:hAnsi="Arial"/>
          <w:sz w:val="22"/>
          <w:szCs w:val="22"/>
        </w:rPr>
        <w:t xml:space="preserve">Integration with government portals (PM-KISAN, e-NAM) for real-time subsidy and price tracking</w:t>
      </w:r>
    </w:p>
    <w:p>
      <w:pPr>
        <w:pStyle w:val="ListParagraph"/>
        <w:numPr>
          <w:ilvl w:val="0"/>
          <w:numId w:val="2"/>
        </w:numPr>
        <w:spacing w:after="60" w:before="60"/>
      </w:pPr>
      <w:r>
        <w:rPr>
          <w:rFonts w:ascii="Arial" w:cs="Arial" w:eastAsia="Arial" w:hAnsi="Arial"/>
          <w:sz w:val="22"/>
          <w:szCs w:val="22"/>
        </w:rPr>
        <w:t xml:space="preserve">Federated learning approaches to ensure farmer data privacy while enabling collaborative AI models</w:t>
      </w:r>
    </w:p>
    <w:p>
      <w:r>
        <w:t xml:space="preserve"/>
      </w:r>
    </w:p>
    <w:p>
      <w:pPr>
        <w:spacing w:after="80" w:before="80"/>
        <w:jc w:val="center"/>
      </w:pPr>
      <w:r>
        <w:rPr>
          <w:rFonts w:ascii="Arial" w:cs="Arial" w:eastAsia="Arial" w:hAnsi="Arial"/>
          <w:b/>
          <w:bCs/>
          <w:i/>
          <w:iCs/>
          <w:color w:val="000000"/>
          <w:sz w:val="22"/>
          <w:szCs w:val="22"/>
        </w:rPr>
        <w:t xml:space="preserve">"Farming is now about growing profits with intelligence."</w:t>
      </w:r>
    </w:p>
    <w:p>
      <w:r>
        <w:t xml:space="preserve"/>
      </w:r>
    </w:p>
    <w:p>
      <w:pPr>
        <w:pStyle w:val="Heading1"/>
        <w:spacing w:after="120" w:before="360"/>
      </w:pPr>
      <w:r>
        <w:rPr>
          <w:rFonts w:ascii="Arial" w:cs="Arial" w:eastAsia="Arial" w:hAnsi="Arial"/>
          <w:b/>
          <w:bCs/>
          <w:color w:val="145A32"/>
          <w:sz w:val="32"/>
          <w:szCs w:val="32"/>
        </w:rPr>
        <w:t xml:space="preserve">9. References</w:t>
      </w:r>
    </w:p>
    <w:p>
      <w:pPr>
        <w:pBdr>
          <w:bottom w:val="single" w:color="1E8449" w:sz="6" w:space="1"/>
        </w:pBd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NABARD All India Rural Financial Inclusion Survey 2021–22, National Bank for Agriculture and Rural Development.</w:t>
      </w:r>
    </w:p>
    <w:p>
      <w:pPr>
        <w:pStyle w:val="ListParagraph"/>
        <w:numPr>
          <w:ilvl w:val="0"/>
          <w:numId w:val="2"/>
        </w:numPr>
        <w:spacing w:after="60" w:before="60"/>
      </w:pPr>
      <w:r>
        <w:rPr>
          <w:rFonts w:ascii="Arial" w:cs="Arial" w:eastAsia="Arial" w:hAnsi="Arial"/>
          <w:sz w:val="22"/>
          <w:szCs w:val="22"/>
        </w:rPr>
        <w:t xml:space="preserve">MarketsandMarkets (2024). AI in Agriculture Market Report. Global Market Insights.</w:t>
      </w:r>
    </w:p>
    <w:p>
      <w:pPr>
        <w:pStyle w:val="ListParagraph"/>
        <w:numPr>
          <w:ilvl w:val="0"/>
          <w:numId w:val="2"/>
        </w:numPr>
        <w:spacing w:after="60" w:before="60"/>
      </w:pPr>
      <w:r>
        <w:rPr>
          <w:rFonts w:ascii="Arial" w:cs="Arial" w:eastAsia="Arial" w:hAnsi="Arial"/>
          <w:sz w:val="22"/>
          <w:szCs w:val="22"/>
        </w:rPr>
        <w:t xml:space="preserve">FAO (2023). Digital Agriculture: AI and IoT for Smallholder Farmers. Food and Agriculture Organization of the United Nations.</w:t>
      </w:r>
    </w:p>
    <w:p>
      <w:pPr>
        <w:pStyle w:val="ListParagraph"/>
        <w:numPr>
          <w:ilvl w:val="0"/>
          <w:numId w:val="2"/>
        </w:numPr>
        <w:spacing w:after="60" w:before="60"/>
      </w:pPr>
      <w:r>
        <w:rPr>
          <w:rFonts w:ascii="Arial" w:cs="Arial" w:eastAsia="Arial" w:hAnsi="Arial"/>
          <w:sz w:val="22"/>
          <w:szCs w:val="22"/>
        </w:rPr>
        <w:t xml:space="preserve">ICRISAT (2023). Digital Tools for Smallholder Farm Income Enhancement. International Crops Research Institute.</w:t>
      </w:r>
    </w:p>
    <w:p>
      <w:pPr>
        <w:pStyle w:val="ListParagraph"/>
        <w:numPr>
          <w:ilvl w:val="0"/>
          <w:numId w:val="2"/>
        </w:numPr>
        <w:spacing w:after="60" w:before="60"/>
      </w:pPr>
      <w:r>
        <w:rPr>
          <w:rFonts w:ascii="Arial" w:cs="Arial" w:eastAsia="Arial" w:hAnsi="Arial"/>
          <w:sz w:val="22"/>
          <w:szCs w:val="22"/>
        </w:rPr>
        <w:t xml:space="preserve">Government of India, Ministry of Agriculture &amp; Farmers Welfare — PM-KISAN and e-NAM portal data, 2024.</w:t>
      </w:r>
    </w:p>
    <w:p>
      <w:pPr>
        <w:pStyle w:val="ListParagraph"/>
        <w:numPr>
          <w:ilvl w:val="0"/>
          <w:numId w:val="2"/>
        </w:numPr>
        <w:spacing w:after="60" w:before="60"/>
      </w:pPr>
      <w:r>
        <w:rPr>
          <w:rFonts w:ascii="Arial" w:cs="Arial" w:eastAsia="Arial" w:hAnsi="Arial"/>
          <w:sz w:val="22"/>
          <w:szCs w:val="22"/>
        </w:rPr>
        <w:t xml:space="preserve">Wolfert, S. et al. (2017). Big Data in Smart Farming – A Review. Agricultural Systems, 153, 69–80.</w:t>
      </w:r>
    </w:p>
    <w:p>
      <w:pPr>
        <w:pStyle w:val="ListParagraph"/>
        <w:numPr>
          <w:ilvl w:val="0"/>
          <w:numId w:val="2"/>
        </w:numPr>
        <w:spacing w:after="60" w:before="60"/>
      </w:pPr>
      <w:r>
        <w:rPr>
          <w:rFonts w:ascii="Arial" w:cs="Arial" w:eastAsia="Arial" w:hAnsi="Arial"/>
          <w:sz w:val="22"/>
          <w:szCs w:val="22"/>
        </w:rPr>
        <w:t xml:space="preserve">Liakos, K.G. et al. (2018). Machine Learning in Agriculture: A Review. Sensors, 18(8), 2674.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8449" w:sz="4" w:space="1"/>
      </w:pBdr>
      <w:jc w:val="center"/>
    </w:pPr>
    <w:r>
      <w:rPr>
        <w:rFonts w:ascii="Arial" w:cs="Arial" w:eastAsia="Arial" w:hAnsi="Arial"/>
        <w:color w:val="666666"/>
        <w:sz w:val="18"/>
        <w:szCs w:val="18"/>
      </w:rPr>
      <w:t xml:space="preserve">S. Chandrashekhara (AMB2044)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8449" w:sz="4" w:space="1"/>
      </w:pBdr>
      <w:jc w:val="center"/>
    </w:pPr>
    <w:r>
      <w:rPr>
        <w:rFonts w:ascii="Arial" w:cs="Arial" w:eastAsia="Arial" w:hAnsi="Arial"/>
        <w:color w:val="666666"/>
        <w:sz w:val="18"/>
        <w:szCs w:val="18"/>
      </w:rPr>
      <w:t xml:space="preserve">AI in Farm Account Management | EAI421 | UAS(B) &amp; REVA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45A32"/>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E844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2026-04-16T00:49:28.493Z</dcterms:created>
  <dcterms:modified xsi:type="dcterms:W3CDTF">2026-04-16T00:49:28.494Z</dcterms:modified>
</cp:coreProperties>
</file>

<file path=docProps/custom.xml><?xml version="1.0" encoding="utf-8"?>
<Properties xmlns="http://schemas.openxmlformats.org/officeDocument/2006/custom-properties" xmlns:vt="http://schemas.openxmlformats.org/officeDocument/2006/docPropsVTypes"/>
</file>