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B3A57"/>
          <w:sz w:val="44"/>
          <w:szCs w:val="44"/>
        </w:rPr>
        <w:t xml:space="preserve">Strategic Plan for E-Governance Data Collection</w:t>
      </w:r>
    </w:p>
    <w:p>
      <w:pPr>
        <w:spacing w:after="40"/>
        <w:jc w:val="center"/>
      </w:pPr>
      <w:r>
        <w:rPr>
          <w:i/>
          <w:iCs/>
          <w:color w:val="2E5C8A"/>
          <w:sz w:val="24"/>
          <w:szCs w:val="24"/>
        </w:rPr>
        <w:t xml:space="preserve">A Blueprint for Gathering, Validating, and Utilizing Publicly Available Governance Data</w:t>
      </w:r>
    </w:p>
    <w:p>
      <w:pPr>
        <w:spacing w:after="600"/>
        <w:jc w:val="center"/>
      </w:pPr>
      <w:r>
        <w:rPr>
          <w:color w:val="595959"/>
          <w:sz w:val="20"/>
          <w:szCs w:val="20"/>
        </w:rPr>
        <w:t xml:space="preserve">Week 1 Deliverable  |  Prepared: August 30, 2026</w:t>
      </w:r>
    </w:p>
    <w:p>
      <w:pPr>
        <w:pStyle w:val="Heading1"/>
        <w:spacing w:after="160" w:before="360"/>
      </w:pPr>
      <w:r>
        <w:rPr>
          <w:b/>
          <w:bCs/>
          <w:color w:val="1B3A57"/>
          <w:sz w:val="30"/>
          <w:szCs w:val="30"/>
        </w:rPr>
        <w:t xml:space="preserve">1. Objective</w:t>
      </w:r>
    </w:p>
    <w:p>
      <w:pPr>
        <w:spacing w:after="160" w:line="300"/>
      </w:pPr>
      <w:r>
        <w:rPr>
          <w:color w:val="202020"/>
          <w:sz w:val="22"/>
          <w:szCs w:val="22"/>
        </w:rPr>
        <w:t xml:space="preserve">This strategic plan defines a structured, repeatable methodology for collecting, validating, and organizing publicly available data relevant to e-governance performance. The purpose is to build a defensible evidence base — drawn entirely from open, legitimately accessible sources — that can be used to track how governments deploy digital tools to deliver public services, engage citizens, and build institutional capacity.</w:t>
      </w:r>
    </w:p>
    <w:p>
      <w:pPr>
        <w:spacing w:after="160" w:line="300"/>
      </w:pPr>
      <w:r>
        <w:rPr>
          <w:color w:val="202020"/>
          <w:sz w:val="22"/>
          <w:szCs w:val="22"/>
        </w:rPr>
        <w:t xml:space="preserve">The plan is scoped as a Week 1 foundation: it establishes objectives, sources, methodology, a timeline, and a risk framework so that subsequent weeks can move directly into data acquisition and analysis without re-litigating scope or method.</w:t>
      </w:r>
    </w:p>
    <w:p>
      <w:pPr>
        <w:pStyle w:val="Heading2"/>
        <w:spacing w:after="120" w:before="240"/>
      </w:pPr>
      <w:r>
        <w:rPr>
          <w:b/>
          <w:bCs/>
          <w:color w:val="2E5C8A"/>
          <w:sz w:val="24"/>
          <w:szCs w:val="24"/>
        </w:rPr>
        <w:t xml:space="preserve">1.1 Specific Goals</w:t>
      </w:r>
    </w:p>
    <w:p>
      <w:pPr>
        <w:pStyle w:val="ListParagraph"/>
        <w:numPr>
          <w:ilvl w:val="0"/>
          <w:numId w:val="2"/>
        </w:numPr>
        <w:spacing w:after="90" w:line="290"/>
      </w:pPr>
      <w:r>
        <w:rPr>
          <w:color w:val="202020"/>
          <w:sz w:val="22"/>
          <w:szCs w:val="22"/>
        </w:rPr>
        <w:t xml:space="preserve">Identify a core set of internationally recognized e-governance indicators (service delivery, infrastructure, human capital, participation, and open data maturity).</w:t>
      </w:r>
    </w:p>
    <w:p>
      <w:pPr>
        <w:pStyle w:val="ListParagraph"/>
        <w:numPr>
          <w:ilvl w:val="0"/>
          <w:numId w:val="2"/>
        </w:numPr>
        <w:spacing w:after="90" w:line="290"/>
      </w:pPr>
      <w:r>
        <w:rPr>
          <w:color w:val="202020"/>
          <w:sz w:val="22"/>
          <w:szCs w:val="22"/>
        </w:rPr>
        <w:t xml:space="preserve">Map each indicator to at least one authoritative, publicly available dataset or portal.</w:t>
      </w:r>
    </w:p>
    <w:p>
      <w:pPr>
        <w:pStyle w:val="ListParagraph"/>
        <w:numPr>
          <w:ilvl w:val="0"/>
          <w:numId w:val="2"/>
        </w:numPr>
        <w:spacing w:after="90" w:line="290"/>
      </w:pPr>
      <w:r>
        <w:rPr>
          <w:color w:val="202020"/>
          <w:sz w:val="22"/>
          <w:szCs w:val="22"/>
        </w:rPr>
        <w:t xml:space="preserve">Design a collection methodology that is legal, reproducible, and low-risk to the source systems being accessed.</w:t>
      </w:r>
    </w:p>
    <w:p>
      <w:pPr>
        <w:pStyle w:val="ListParagraph"/>
        <w:numPr>
          <w:ilvl w:val="0"/>
          <w:numId w:val="2"/>
        </w:numPr>
        <w:spacing w:after="90" w:line="290"/>
      </w:pPr>
      <w:r>
        <w:rPr>
          <w:color w:val="202020"/>
          <w:sz w:val="22"/>
          <w:szCs w:val="22"/>
        </w:rPr>
        <w:t xml:space="preserve">Define quality thresholds so that only accurate, timely, and comparable data enters the working dataset.</w:t>
      </w:r>
    </w:p>
    <w:p>
      <w:pPr>
        <w:pStyle w:val="ListParagraph"/>
        <w:numPr>
          <w:ilvl w:val="0"/>
          <w:numId w:val="2"/>
        </w:numPr>
        <w:spacing w:after="90" w:line="290"/>
      </w:pPr>
      <w:r>
        <w:rPr>
          <w:color w:val="202020"/>
          <w:sz w:val="22"/>
          <w:szCs w:val="22"/>
        </w:rPr>
        <w:t xml:space="preserve">Produce a timeline and risk register that a small team can execute against without further scoping work.</w:t>
      </w:r>
    </w:p>
    <w:p>
      <w:pPr>
        <w:pStyle w:val="Heading1"/>
        <w:spacing w:after="160" w:before="360"/>
      </w:pPr>
      <w:r>
        <w:rPr>
          <w:b/>
          <w:bCs/>
          <w:color w:val="1B3A57"/>
          <w:sz w:val="30"/>
          <w:szCs w:val="30"/>
        </w:rPr>
        <w:t xml:space="preserve">2. Background: The Role of Data in E-Governance</w:t>
      </w:r>
    </w:p>
    <w:p>
      <w:pPr>
        <w:spacing w:after="160" w:line="300"/>
      </w:pPr>
      <w:r>
        <w:rPr>
          <w:color w:val="202020"/>
          <w:sz w:val="22"/>
          <w:szCs w:val="22"/>
        </w:rPr>
        <w:t xml:space="preserve">E-governance performance is increasingly measured through composite, internationally benchmarked indices rather than isolated statistics. The United Nations E-Government Survey, published by UN DESA, is the primary global benchmark and scores all 193 Member States on the E-Government Development Index (EGDI), a composite of three equally weighted sub-indices.</w:t>
      </w:r>
    </w:p>
    <w:p>
      <w:pPr>
        <w:pStyle w:val="ListParagraph"/>
        <w:numPr>
          <w:ilvl w:val="0"/>
          <w:numId w:val="2"/>
        </w:numPr>
        <w:spacing w:after="90" w:line="290"/>
      </w:pPr>
      <w:r>
        <w:rPr>
          <w:color w:val="202020"/>
          <w:sz w:val="22"/>
          <w:szCs w:val="22"/>
        </w:rPr>
        <w:t xml:space="preserve">Online Services Index (OSI) — breadth, depth, and usability of government digital services.</w:t>
      </w:r>
    </w:p>
    <w:p>
      <w:pPr>
        <w:pStyle w:val="ListParagraph"/>
        <w:numPr>
          <w:ilvl w:val="0"/>
          <w:numId w:val="2"/>
        </w:numPr>
        <w:spacing w:after="90" w:line="290"/>
      </w:pPr>
      <w:r>
        <w:rPr>
          <w:color w:val="202020"/>
          <w:sz w:val="22"/>
          <w:szCs w:val="22"/>
        </w:rPr>
        <w:t xml:space="preserve">Telecommunication Infrastructure Index (TII) — connectivity and access (internet users, mobile/fixed broadband, subscriptions).</w:t>
      </w:r>
    </w:p>
    <w:p>
      <w:pPr>
        <w:pStyle w:val="ListParagraph"/>
        <w:numPr>
          <w:ilvl w:val="0"/>
          <w:numId w:val="2"/>
        </w:numPr>
        <w:spacing w:after="90" w:line="290"/>
      </w:pPr>
      <w:r>
        <w:rPr>
          <w:color w:val="202020"/>
          <w:sz w:val="22"/>
          <w:szCs w:val="22"/>
        </w:rPr>
        <w:t xml:space="preserve">Human Capital Index (HCI) — literacy, enrolment, and education levels underpinning digital readiness.</w:t>
      </w:r>
    </w:p>
    <w:p>
      <w:pPr>
        <w:spacing w:after="160" w:line="300"/>
      </w:pPr>
      <w:r>
        <w:rPr>
          <w:color w:val="202020"/>
          <w:sz w:val="22"/>
          <w:szCs w:val="22"/>
        </w:rPr>
        <w:t xml:space="preserve">The Survey also tracks a distinct E-Participation Index (EPI) and, at the city level, a Local Online Service Index (LOSI). Alongside these, growth in Open Government Data (OGD) has been substantial: the number of countries operating national OGD portals rose from 46 in 2014 to 153 in 2020, with associated practices such as published OGD policies, metadata standards, and public data-request channels becoming increasingly common. This shift means credible e-governance research must combine composite index data with granular, country-level open datasets to explain the mechanisms behind index scores.</w:t>
      </w:r>
    </w:p>
    <w:p>
      <w:pPr>
        <w:pStyle w:val="Heading1"/>
        <w:spacing w:after="160" w:before="360"/>
      </w:pPr>
      <w:r>
        <w:rPr>
          <w:b/>
          <w:bCs/>
          <w:color w:val="1B3A57"/>
          <w:sz w:val="30"/>
          <w:szCs w:val="30"/>
        </w:rPr>
        <w:t xml:space="preserve">3. Scope and Planning</w:t>
      </w:r>
    </w:p>
    <w:p>
      <w:pPr>
        <w:pStyle w:val="Heading2"/>
        <w:spacing w:after="120" w:before="240"/>
      </w:pPr>
      <w:r>
        <w:rPr>
          <w:b/>
          <w:bCs/>
          <w:color w:val="2E5C8A"/>
          <w:sz w:val="24"/>
          <w:szCs w:val="24"/>
        </w:rPr>
        <w:t xml:space="preserve">3.1 Type of Data Required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4800"/>
        <w:gridCol w:w="2600"/>
      </w:tblGrid>
      <w:tr>
        <w:trPr>
          <w:tblHeader/>
        </w:trPr>
        <w:tc>
          <w:tcPr>
            <w:tcW w:type="dxa" w:w="2600"/>
            <w:shd w:fill="2E5C8A" w:val="clear"/>
            <w:tcMar>
              <w:top w:type="dxa" w:w="100"/>
              <w:left w:type="dxa" w:w="120"/>
              <w:bottom w:type="dxa" w:w="100"/>
              <w:right w:type="dxa" w:w="120"/>
            </w:tcMar>
            <w:vAlign w:val="center"/>
          </w:tcPr>
          <w:p>
            <w:pPr>
              <w:jc w:val="left"/>
            </w:pPr>
            <w:r>
              <w:rPr>
                <w:b/>
                <w:bCs/>
                <w:color w:val="FFFFFF"/>
                <w:sz w:val="20"/>
                <w:szCs w:val="20"/>
              </w:rPr>
              <w:t xml:space="preserve">Category</w:t>
            </w:r>
          </w:p>
        </w:tc>
        <w:tc>
          <w:tcPr>
            <w:tcW w:type="dxa" w:w="4800"/>
            <w:shd w:fill="2E5C8A" w:val="clear"/>
            <w:tcMar>
              <w:top w:type="dxa" w:w="100"/>
              <w:left w:type="dxa" w:w="120"/>
              <w:bottom w:type="dxa" w:w="100"/>
              <w:right w:type="dxa" w:w="120"/>
            </w:tcMar>
            <w:vAlign w:val="center"/>
          </w:tcPr>
          <w:p>
            <w:pPr>
              <w:jc w:val="left"/>
            </w:pPr>
            <w:r>
              <w:rPr>
                <w:b/>
                <w:bCs/>
                <w:color w:val="FFFFFF"/>
                <w:sz w:val="20"/>
                <w:szCs w:val="20"/>
              </w:rPr>
              <w:t xml:space="preserve">Examples</w:t>
            </w:r>
          </w:p>
        </w:tc>
        <w:tc>
          <w:tcPr>
            <w:tcW w:type="dxa" w:w="2600"/>
            <w:shd w:fill="2E5C8A" w:val="clear"/>
            <w:tcMar>
              <w:top w:type="dxa" w:w="100"/>
              <w:left w:type="dxa" w:w="120"/>
              <w:bottom w:type="dxa" w:w="100"/>
              <w:right w:type="dxa" w:w="120"/>
            </w:tcMar>
            <w:vAlign w:val="center"/>
          </w:tcPr>
          <w:p>
            <w:pPr>
              <w:jc w:val="left"/>
            </w:pPr>
            <w:r>
              <w:rPr>
                <w:b/>
                <w:bCs/>
                <w:color w:val="FFFFFF"/>
                <w:sz w:val="20"/>
                <w:szCs w:val="20"/>
              </w:rPr>
              <w:t xml:space="preserve">Typical Format</w:t>
            </w:r>
          </w:p>
        </w:tc>
      </w:tr>
      <w:tr>
        <w:tc>
          <w:tcPr>
            <w:tcW w:type="dxa" w:w="2600"/>
            <w:shd w:fill="EAF1F8" w:val="clear"/>
            <w:tcMar>
              <w:top w:type="dxa" w:w="100"/>
              <w:left w:type="dxa" w:w="120"/>
              <w:bottom w:type="dxa" w:w="100"/>
              <w:right w:type="dxa" w:w="120"/>
            </w:tcMar>
            <w:vAlign w:val="center"/>
          </w:tcPr>
          <w:p>
            <w:pPr>
              <w:jc w:val="left"/>
            </w:pPr>
            <w:r>
              <w:rPr>
                <w:b w:val="false"/>
                <w:bCs w:val="false"/>
                <w:color w:val="202020"/>
                <w:sz w:val="20"/>
                <w:szCs w:val="20"/>
              </w:rPr>
              <w:t xml:space="preserve">Composite indices</w:t>
            </w:r>
          </w:p>
        </w:tc>
        <w:tc>
          <w:tcPr>
            <w:tcW w:type="dxa" w:w="4800"/>
            <w:shd w:fill="EAF1F8" w:val="clear"/>
            <w:tcMar>
              <w:top w:type="dxa" w:w="100"/>
              <w:left w:type="dxa" w:w="120"/>
              <w:bottom w:type="dxa" w:w="100"/>
              <w:right w:type="dxa" w:w="120"/>
            </w:tcMar>
            <w:vAlign w:val="center"/>
          </w:tcPr>
          <w:p>
            <w:pPr>
              <w:jc w:val="left"/>
            </w:pPr>
            <w:r>
              <w:rPr>
                <w:b w:val="false"/>
                <w:bCs w:val="false"/>
                <w:color w:val="202020"/>
                <w:sz w:val="20"/>
                <w:szCs w:val="20"/>
              </w:rPr>
              <w:t xml:space="preserve">EGDI, OSI, TII, HCI, EPI, LOSI</w:t>
            </w:r>
          </w:p>
        </w:tc>
        <w:tc>
          <w:tcPr>
            <w:tcW w:type="dxa" w:w="2600"/>
            <w:shd w:fill="EAF1F8" w:val="clear"/>
            <w:tcMar>
              <w:top w:type="dxa" w:w="100"/>
              <w:left w:type="dxa" w:w="120"/>
              <w:bottom w:type="dxa" w:w="100"/>
              <w:right w:type="dxa" w:w="120"/>
            </w:tcMar>
            <w:vAlign w:val="center"/>
          </w:tcPr>
          <w:p>
            <w:pPr>
              <w:jc w:val="left"/>
            </w:pPr>
            <w:r>
              <w:rPr>
                <w:b w:val="false"/>
                <w:bCs w:val="false"/>
                <w:color w:val="202020"/>
                <w:sz w:val="20"/>
                <w:szCs w:val="20"/>
              </w:rPr>
              <w:t xml:space="preserve">CSV / XLSX / PDF tables</w:t>
            </w:r>
          </w:p>
        </w:tc>
      </w:tr>
      <w:tr>
        <w:tc>
          <w:tcPr>
            <w:tcW w:type="dxa" w:w="2600"/>
            <w:shd w:fill="FFFFFF" w:val="clear"/>
            <w:tcMar>
              <w:top w:type="dxa" w:w="100"/>
              <w:left w:type="dxa" w:w="120"/>
              <w:bottom w:type="dxa" w:w="100"/>
              <w:right w:type="dxa" w:w="120"/>
            </w:tcMar>
            <w:vAlign w:val="center"/>
          </w:tcPr>
          <w:p>
            <w:pPr>
              <w:jc w:val="left"/>
            </w:pPr>
            <w:r>
              <w:rPr>
                <w:b w:val="false"/>
                <w:bCs w:val="false"/>
                <w:color w:val="202020"/>
                <w:sz w:val="20"/>
                <w:szCs w:val="20"/>
              </w:rPr>
              <w:t xml:space="preserve">Infrastructure &amp; access</w:t>
            </w:r>
          </w:p>
        </w:tc>
        <w:tc>
          <w:tcPr>
            <w:tcW w:type="dxa" w:w="4800"/>
            <w:shd w:fill="FFFFFF" w:val="clear"/>
            <w:tcMar>
              <w:top w:type="dxa" w:w="100"/>
              <w:left w:type="dxa" w:w="120"/>
              <w:bottom w:type="dxa" w:w="100"/>
              <w:right w:type="dxa" w:w="120"/>
            </w:tcMar>
            <w:vAlign w:val="center"/>
          </w:tcPr>
          <w:p>
            <w:pPr>
              <w:jc w:val="left"/>
            </w:pPr>
            <w:r>
              <w:rPr>
                <w:b w:val="false"/>
                <w:bCs w:val="false"/>
                <w:color w:val="202020"/>
                <w:sz w:val="20"/>
                <w:szCs w:val="20"/>
              </w:rPr>
              <w:t xml:space="preserve">Internet penetration, broadband subscriptions, mobile coverage</w:t>
            </w:r>
          </w:p>
        </w:tc>
        <w:tc>
          <w:tcPr>
            <w:tcW w:type="dxa" w:w="2600"/>
            <w:shd w:fill="FFFFFF" w:val="clear"/>
            <w:tcMar>
              <w:top w:type="dxa" w:w="100"/>
              <w:left w:type="dxa" w:w="120"/>
              <w:bottom w:type="dxa" w:w="100"/>
              <w:right w:type="dxa" w:w="120"/>
            </w:tcMar>
            <w:vAlign w:val="center"/>
          </w:tcPr>
          <w:p>
            <w:pPr>
              <w:jc w:val="left"/>
            </w:pPr>
            <w:r>
              <w:rPr>
                <w:b w:val="false"/>
                <w:bCs w:val="false"/>
                <w:color w:val="202020"/>
                <w:sz w:val="20"/>
                <w:szCs w:val="20"/>
              </w:rPr>
              <w:t xml:space="preserve">API / CSV (ITU, World Bank)</w:t>
            </w:r>
          </w:p>
        </w:tc>
      </w:tr>
      <w:tr>
        <w:tc>
          <w:tcPr>
            <w:tcW w:type="dxa" w:w="2600"/>
            <w:shd w:fill="EAF1F8" w:val="clear"/>
            <w:tcMar>
              <w:top w:type="dxa" w:w="100"/>
              <w:left w:type="dxa" w:w="120"/>
              <w:bottom w:type="dxa" w:w="100"/>
              <w:right w:type="dxa" w:w="120"/>
            </w:tcMar>
            <w:vAlign w:val="center"/>
          </w:tcPr>
          <w:p>
            <w:pPr>
              <w:jc w:val="left"/>
            </w:pPr>
            <w:r>
              <w:rPr>
                <w:b w:val="false"/>
                <w:bCs w:val="false"/>
                <w:color w:val="202020"/>
                <w:sz w:val="20"/>
                <w:szCs w:val="20"/>
              </w:rPr>
              <w:t xml:space="preserve">Service delivery</w:t>
            </w:r>
          </w:p>
        </w:tc>
        <w:tc>
          <w:tcPr>
            <w:tcW w:type="dxa" w:w="4800"/>
            <w:shd w:fill="EAF1F8" w:val="clear"/>
            <w:tcMar>
              <w:top w:type="dxa" w:w="100"/>
              <w:left w:type="dxa" w:w="120"/>
              <w:bottom w:type="dxa" w:w="100"/>
              <w:right w:type="dxa" w:w="120"/>
            </w:tcMar>
            <w:vAlign w:val="center"/>
          </w:tcPr>
          <w:p>
            <w:pPr>
              <w:jc w:val="left"/>
            </w:pPr>
            <w:r>
              <w:rPr>
                <w:b w:val="false"/>
                <w:bCs w:val="false"/>
                <w:color w:val="202020"/>
                <w:sz w:val="20"/>
                <w:szCs w:val="20"/>
              </w:rPr>
              <w:t xml:space="preserve">Number of digital services, transactional service availability</w:t>
            </w:r>
          </w:p>
        </w:tc>
        <w:tc>
          <w:tcPr>
            <w:tcW w:type="dxa" w:w="2600"/>
            <w:shd w:fill="EAF1F8" w:val="clear"/>
            <w:tcMar>
              <w:top w:type="dxa" w:w="100"/>
              <w:left w:type="dxa" w:w="120"/>
              <w:bottom w:type="dxa" w:w="100"/>
              <w:right w:type="dxa" w:w="120"/>
            </w:tcMar>
            <w:vAlign w:val="center"/>
          </w:tcPr>
          <w:p>
            <w:pPr>
              <w:jc w:val="left"/>
            </w:pPr>
            <w:r>
              <w:rPr>
                <w:b w:val="false"/>
                <w:bCs w:val="false"/>
                <w:color w:val="202020"/>
                <w:sz w:val="20"/>
                <w:szCs w:val="20"/>
              </w:rPr>
              <w:t xml:space="preserve">Portal listings, national OGD portals</w:t>
            </w:r>
          </w:p>
        </w:tc>
      </w:tr>
      <w:tr>
        <w:tc>
          <w:tcPr>
            <w:tcW w:type="dxa" w:w="2600"/>
            <w:shd w:fill="FFFFFF" w:val="clear"/>
            <w:tcMar>
              <w:top w:type="dxa" w:w="100"/>
              <w:left w:type="dxa" w:w="120"/>
              <w:bottom w:type="dxa" w:w="100"/>
              <w:right w:type="dxa" w:w="120"/>
            </w:tcMar>
            <w:vAlign w:val="center"/>
          </w:tcPr>
          <w:p>
            <w:pPr>
              <w:jc w:val="left"/>
            </w:pPr>
            <w:r>
              <w:rPr>
                <w:b w:val="false"/>
                <w:bCs w:val="false"/>
                <w:color w:val="202020"/>
                <w:sz w:val="20"/>
                <w:szCs w:val="20"/>
              </w:rPr>
              <w:t xml:space="preserve">Participation</w:t>
            </w:r>
          </w:p>
        </w:tc>
        <w:tc>
          <w:tcPr>
            <w:tcW w:type="dxa" w:w="4800"/>
            <w:shd w:fill="FFFFFF" w:val="clear"/>
            <w:tcMar>
              <w:top w:type="dxa" w:w="100"/>
              <w:left w:type="dxa" w:w="120"/>
              <w:bottom w:type="dxa" w:w="100"/>
              <w:right w:type="dxa" w:w="120"/>
            </w:tcMar>
            <w:vAlign w:val="center"/>
          </w:tcPr>
          <w:p>
            <w:pPr>
              <w:jc w:val="left"/>
            </w:pPr>
            <w:r>
              <w:rPr>
                <w:b w:val="false"/>
                <w:bCs w:val="false"/>
                <w:color w:val="202020"/>
                <w:sz w:val="20"/>
                <w:szCs w:val="20"/>
              </w:rPr>
              <w:t xml:space="preserve">E-consultation, e-decision-making features, social media use by government</w:t>
            </w:r>
          </w:p>
        </w:tc>
        <w:tc>
          <w:tcPr>
            <w:tcW w:type="dxa" w:w="2600"/>
            <w:shd w:fill="FFFFFF" w:val="clear"/>
            <w:tcMar>
              <w:top w:type="dxa" w:w="100"/>
              <w:left w:type="dxa" w:w="120"/>
              <w:bottom w:type="dxa" w:w="100"/>
              <w:right w:type="dxa" w:w="120"/>
            </w:tcMar>
            <w:vAlign w:val="center"/>
          </w:tcPr>
          <w:p>
            <w:pPr>
              <w:jc w:val="left"/>
            </w:pPr>
            <w:r>
              <w:rPr>
                <w:b w:val="false"/>
                <w:bCs w:val="false"/>
                <w:color w:val="202020"/>
                <w:sz w:val="20"/>
                <w:szCs w:val="20"/>
              </w:rPr>
              <w:t xml:space="preserve">Survey annexes, portal crawls</w:t>
            </w:r>
          </w:p>
        </w:tc>
      </w:tr>
      <w:tr>
        <w:tc>
          <w:tcPr>
            <w:tcW w:type="dxa" w:w="2600"/>
            <w:shd w:fill="EAF1F8" w:val="clear"/>
            <w:tcMar>
              <w:top w:type="dxa" w:w="100"/>
              <w:left w:type="dxa" w:w="120"/>
              <w:bottom w:type="dxa" w:w="100"/>
              <w:right w:type="dxa" w:w="120"/>
            </w:tcMar>
            <w:vAlign w:val="center"/>
          </w:tcPr>
          <w:p>
            <w:pPr>
              <w:jc w:val="left"/>
            </w:pPr>
            <w:r>
              <w:rPr>
                <w:b w:val="false"/>
                <w:bCs w:val="false"/>
                <w:color w:val="202020"/>
                <w:sz w:val="20"/>
                <w:szCs w:val="20"/>
              </w:rPr>
              <w:t xml:space="preserve">Open data maturity</w:t>
            </w:r>
          </w:p>
        </w:tc>
        <w:tc>
          <w:tcPr>
            <w:tcW w:type="dxa" w:w="4800"/>
            <w:shd w:fill="EAF1F8" w:val="clear"/>
            <w:tcMar>
              <w:top w:type="dxa" w:w="100"/>
              <w:left w:type="dxa" w:w="120"/>
              <w:bottom w:type="dxa" w:w="100"/>
              <w:right w:type="dxa" w:w="120"/>
            </w:tcMar>
            <w:vAlign w:val="center"/>
          </w:tcPr>
          <w:p>
            <w:pPr>
              <w:jc w:val="left"/>
            </w:pPr>
            <w:r>
              <w:rPr>
                <w:b w:val="false"/>
                <w:bCs w:val="false"/>
                <w:color w:val="202020"/>
                <w:sz w:val="20"/>
                <w:szCs w:val="20"/>
              </w:rPr>
              <w:t xml:space="preserve">OGD policy existence, metadata standards, portal feature counts</w:t>
            </w:r>
          </w:p>
        </w:tc>
        <w:tc>
          <w:tcPr>
            <w:tcW w:type="dxa" w:w="2600"/>
            <w:shd w:fill="EAF1F8" w:val="clear"/>
            <w:tcMar>
              <w:top w:type="dxa" w:w="100"/>
              <w:left w:type="dxa" w:w="120"/>
              <w:bottom w:type="dxa" w:w="100"/>
              <w:right w:type="dxa" w:w="120"/>
            </w:tcMar>
            <w:vAlign w:val="center"/>
          </w:tcPr>
          <w:p>
            <w:pPr>
              <w:jc w:val="left"/>
            </w:pPr>
            <w:r>
              <w:rPr>
                <w:b w:val="false"/>
                <w:bCs w:val="false"/>
                <w:color w:val="202020"/>
                <w:sz w:val="20"/>
                <w:szCs w:val="20"/>
              </w:rPr>
              <w:t xml:space="preserve">OGD Index, ODIN, Global Open Data Index</w:t>
            </w:r>
          </w:p>
        </w:tc>
      </w:tr>
      <w:tr>
        <w:tc>
          <w:tcPr>
            <w:tcW w:type="dxa" w:w="2600"/>
            <w:shd w:fill="FFFFFF" w:val="clear"/>
            <w:tcMar>
              <w:top w:type="dxa" w:w="100"/>
              <w:left w:type="dxa" w:w="120"/>
              <w:bottom w:type="dxa" w:w="100"/>
              <w:right w:type="dxa" w:w="120"/>
            </w:tcMar>
            <w:vAlign w:val="center"/>
          </w:tcPr>
          <w:p>
            <w:pPr>
              <w:jc w:val="left"/>
            </w:pPr>
            <w:r>
              <w:rPr>
                <w:b w:val="false"/>
                <w:bCs w:val="false"/>
                <w:color w:val="202020"/>
                <w:sz w:val="20"/>
                <w:szCs w:val="20"/>
              </w:rPr>
              <w:t xml:space="preserve">Governance context</w:t>
            </w:r>
          </w:p>
        </w:tc>
        <w:tc>
          <w:tcPr>
            <w:tcW w:type="dxa" w:w="4800"/>
            <w:shd w:fill="FFFFFF" w:val="clear"/>
            <w:tcMar>
              <w:top w:type="dxa" w:w="100"/>
              <w:left w:type="dxa" w:w="120"/>
              <w:bottom w:type="dxa" w:w="100"/>
              <w:right w:type="dxa" w:w="120"/>
            </w:tcMar>
            <w:vAlign w:val="center"/>
          </w:tcPr>
          <w:p>
            <w:pPr>
              <w:jc w:val="left"/>
            </w:pPr>
            <w:r>
              <w:rPr>
                <w:b w:val="false"/>
                <w:bCs w:val="false"/>
                <w:color w:val="202020"/>
                <w:sz w:val="20"/>
                <w:szCs w:val="20"/>
              </w:rPr>
              <w:t xml:space="preserve">Rule of law, corruption perception, regulatory quality</w:t>
            </w:r>
          </w:p>
        </w:tc>
        <w:tc>
          <w:tcPr>
            <w:tcW w:type="dxa" w:w="2600"/>
            <w:shd w:fill="FFFFFF" w:val="clear"/>
            <w:tcMar>
              <w:top w:type="dxa" w:w="100"/>
              <w:left w:type="dxa" w:w="120"/>
              <w:bottom w:type="dxa" w:w="100"/>
              <w:right w:type="dxa" w:w="120"/>
            </w:tcMar>
            <w:vAlign w:val="center"/>
          </w:tcPr>
          <w:p>
            <w:pPr>
              <w:jc w:val="left"/>
            </w:pPr>
            <w:r>
              <w:rPr>
                <w:b w:val="false"/>
                <w:bCs w:val="false"/>
                <w:color w:val="202020"/>
                <w:sz w:val="20"/>
                <w:szCs w:val="20"/>
              </w:rPr>
              <w:t xml:space="preserve">World Bank WGI, Transparency International</w:t>
            </w:r>
          </w:p>
        </w:tc>
      </w:tr>
    </w:tbl>
    <w:p>
      <w:pPr>
        <w:spacing w:before="200"/>
      </w:pPr>
    </w:p>
    <w:p>
      <w:pPr>
        <w:pStyle w:val="Heading2"/>
        <w:spacing w:after="120" w:before="240"/>
      </w:pPr>
      <w:r>
        <w:rPr>
          <w:b/>
          <w:bCs/>
          <w:color w:val="2E5C8A"/>
          <w:sz w:val="24"/>
          <w:szCs w:val="24"/>
        </w:rPr>
        <w:t xml:space="preserve">3.2 Collection Frequency</w:t>
      </w:r>
    </w:p>
    <w:p>
      <w:pPr>
        <w:pStyle w:val="ListParagraph"/>
        <w:numPr>
          <w:ilvl w:val="0"/>
          <w:numId w:val="2"/>
        </w:numPr>
        <w:spacing w:after="90" w:line="290"/>
      </w:pPr>
      <w:r>
        <w:rPr>
          <w:color w:val="202020"/>
          <w:sz w:val="22"/>
          <w:szCs w:val="22"/>
        </w:rPr>
        <w:t xml:space="preserve">Composite indices (EGDI, EPI, LOSI): biennial pull, aligned to UN Survey release cycle.</w:t>
      </w:r>
    </w:p>
    <w:p>
      <w:pPr>
        <w:pStyle w:val="ListParagraph"/>
        <w:numPr>
          <w:ilvl w:val="0"/>
          <w:numId w:val="2"/>
        </w:numPr>
        <w:spacing w:after="90" w:line="290"/>
      </w:pPr>
      <w:r>
        <w:rPr>
          <w:color w:val="202020"/>
          <w:sz w:val="22"/>
          <w:szCs w:val="22"/>
        </w:rPr>
        <w:t xml:space="preserve">Infrastructure statistics (ITU, World Bank): annual pull, with a mid-year check for revisions.</w:t>
      </w:r>
    </w:p>
    <w:p>
      <w:pPr>
        <w:pStyle w:val="ListParagraph"/>
        <w:numPr>
          <w:ilvl w:val="0"/>
          <w:numId w:val="2"/>
        </w:numPr>
        <w:spacing w:after="90" w:line="290"/>
      </w:pPr>
      <w:r>
        <w:rPr>
          <w:color w:val="202020"/>
          <w:sz w:val="22"/>
          <w:szCs w:val="22"/>
        </w:rPr>
        <w:t xml:space="preserve">Open data portal metadata: quarterly crawl to detect newly published or removed datasets/features.</w:t>
      </w:r>
    </w:p>
    <w:p>
      <w:pPr>
        <w:pStyle w:val="ListParagraph"/>
        <w:numPr>
          <w:ilvl w:val="0"/>
          <w:numId w:val="2"/>
        </w:numPr>
        <w:spacing w:after="90" w:line="290"/>
      </w:pPr>
      <w:r>
        <w:rPr>
          <w:color w:val="202020"/>
          <w:sz w:val="22"/>
          <w:szCs w:val="22"/>
        </w:rPr>
        <w:t xml:space="preserve">Governance context indicators (WGI, CPI): annual pull, aligned to publisher release schedule.</w:t>
      </w:r>
    </w:p>
    <w:p>
      <w:pPr>
        <w:pStyle w:val="Heading1"/>
        <w:spacing w:after="160" w:before="360"/>
      </w:pPr>
      <w:r>
        <w:rPr>
          <w:b/>
          <w:bCs/>
          <w:color w:val="1B3A57"/>
          <w:sz w:val="30"/>
          <w:szCs w:val="30"/>
        </w:rPr>
        <w:t xml:space="preserve">4. Methodology</w:t>
      </w:r>
    </w:p>
    <w:p>
      <w:pPr>
        <w:spacing w:after="160" w:line="300"/>
      </w:pPr>
      <w:r>
        <w:rPr>
          <w:color w:val="202020"/>
          <w:sz w:val="22"/>
          <w:szCs w:val="22"/>
        </w:rPr>
        <w:t xml:space="preserve">Collection will use a tiered approach, preferring the most structured and least intrusive method available for each source, in this priority order:</w:t>
      </w:r>
    </w:p>
    <w:p>
      <w:pPr>
        <w:pStyle w:val="ListParagraph"/>
        <w:numPr>
          <w:ilvl w:val="0"/>
          <w:numId w:val="3"/>
        </w:numPr>
        <w:spacing w:after="90" w:line="290"/>
      </w:pPr>
      <w:r>
        <w:rPr>
          <w:color w:val="202020"/>
          <w:sz w:val="22"/>
          <w:szCs w:val="22"/>
        </w:rPr>
        <w:t xml:space="preserve">Official APIs / bulk downloads — e.g., World Bank API, ITU DataHub bulk files, UN Data API. Preferred wherever available; produces structured, versioned data with minimal load on source servers.</w:t>
      </w:r>
    </w:p>
    <w:p>
      <w:pPr>
        <w:pStyle w:val="ListParagraph"/>
        <w:numPr>
          <w:ilvl w:val="0"/>
          <w:numId w:val="3"/>
        </w:numPr>
        <w:spacing w:after="90" w:line="290"/>
      </w:pPr>
      <w:r>
        <w:rPr>
          <w:color w:val="202020"/>
          <w:sz w:val="22"/>
          <w:szCs w:val="22"/>
        </w:rPr>
        <w:t xml:space="preserve">Structured file downloads — CSV/XLSX annexes published alongside reports (e.g., UN E-Government Survey technical appendix), parsed with schema-validated scripts rather than manual re-typing.</w:t>
      </w:r>
    </w:p>
    <w:p>
      <w:pPr>
        <w:pStyle w:val="ListParagraph"/>
        <w:numPr>
          <w:ilvl w:val="0"/>
          <w:numId w:val="3"/>
        </w:numPr>
        <w:spacing w:after="90" w:line="290"/>
      </w:pPr>
      <w:r>
        <w:rPr>
          <w:color w:val="202020"/>
          <w:sz w:val="22"/>
          <w:szCs w:val="22"/>
        </w:rPr>
        <w:t xml:space="preserve">Controlled web scraping — used only for public portal metadata not exposed via API (e.g., counting features on national OGD portals), performed at low request rates, respecting robots.txt and terms of service, and logged for auditability.</w:t>
      </w:r>
    </w:p>
    <w:p>
      <w:pPr>
        <w:pStyle w:val="ListParagraph"/>
        <w:numPr>
          <w:ilvl w:val="0"/>
          <w:numId w:val="3"/>
        </w:numPr>
        <w:spacing w:after="90" w:line="290"/>
      </w:pPr>
      <w:r>
        <w:rPr>
          <w:color w:val="202020"/>
          <w:sz w:val="22"/>
          <w:szCs w:val="22"/>
        </w:rPr>
        <w:t xml:space="preserve">Manual collection — reserved for small, non-recurring items (e.g., verifying a specific portal feature) where automation is not cost-effective; always double-entered by a second reviewer.</w:t>
      </w:r>
    </w:p>
    <w:p>
      <w:pPr>
        <w:spacing w:after="160" w:line="300"/>
      </w:pPr>
      <w:r>
        <w:rPr>
          <w:color w:val="202020"/>
          <w:sz w:val="22"/>
          <w:szCs w:val="22"/>
        </w:rPr>
        <w:t xml:space="preserve">Below is the intended data flow from source identification through to a usable, quality-scored dataset:</w:t>
      </w:r>
    </w:p>
    <w:p>
      <w:pPr>
        <w:spacing w:after="160" w:before="120"/>
        <w:jc w:val="center"/>
      </w:pPr>
      <w:r>
        <w:drawing>
          <wp:inline distT="0" distB="0" distL="0" distR="0">
            <wp:extent cx="5905500" cy="1504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504950"/>
                    </a:xfrm>
                    <a:prstGeom prst="rect">
                      <a:avLst/>
                    </a:prstGeom>
                  </pic:spPr>
                </pic:pic>
              </a:graphicData>
            </a:graphic>
          </wp:inline>
        </w:drawing>
      </w:r>
    </w:p>
    <w:p>
      <w:pPr>
        <w:spacing w:after="160" w:line="300"/>
      </w:pPr>
      <w:r>
        <w:rPr>
          <w:i/>
          <w:iCs/>
          <w:color w:val="595959"/>
          <w:sz w:val="18"/>
          <w:szCs w:val="18"/>
        </w:rPr>
        <w:t xml:space="preserve">Figure 1: End-to-end data collection pipeline, from source scoping through to the indicator dashboard.</w:t>
      </w:r>
    </w:p>
    <w:p>
      <w:pPr>
        <w:pStyle w:val="Heading1"/>
        <w:spacing w:after="160" w:before="360"/>
      </w:pPr>
      <w:r>
        <w:rPr>
          <w:b/>
          <w:bCs/>
          <w:color w:val="1B3A57"/>
          <w:sz w:val="30"/>
          <w:szCs w:val="30"/>
        </w:rPr>
        <w:t xml:space="preserve">5. Data Sources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400"/>
        <w:gridCol w:w="3600"/>
        <w:gridCol w:w="3000"/>
      </w:tblGrid>
      <w:tr>
        <w:trPr>
          <w:tblHeader/>
        </w:trPr>
        <w:tc>
          <w:tcPr>
            <w:tcW w:type="dxa" w:w="3400"/>
            <w:shd w:fill="2E5C8A" w:val="clear"/>
            <w:tcMar>
              <w:top w:type="dxa" w:w="100"/>
              <w:left w:type="dxa" w:w="120"/>
              <w:bottom w:type="dxa" w:w="100"/>
              <w:right w:type="dxa" w:w="120"/>
            </w:tcMar>
            <w:vAlign w:val="center"/>
          </w:tcPr>
          <w:p>
            <w:pPr>
              <w:jc w:val="left"/>
            </w:pPr>
            <w:r>
              <w:rPr>
                <w:b/>
                <w:bCs/>
                <w:color w:val="FFFFFF"/>
                <w:sz w:val="20"/>
                <w:szCs w:val="20"/>
              </w:rPr>
              <w:t xml:space="preserve">Source</w:t>
            </w:r>
          </w:p>
        </w:tc>
        <w:tc>
          <w:tcPr>
            <w:tcW w:type="dxa" w:w="3600"/>
            <w:shd w:fill="2E5C8A" w:val="clear"/>
            <w:tcMar>
              <w:top w:type="dxa" w:w="100"/>
              <w:left w:type="dxa" w:w="120"/>
              <w:bottom w:type="dxa" w:w="100"/>
              <w:right w:type="dxa" w:w="120"/>
            </w:tcMar>
            <w:vAlign w:val="center"/>
          </w:tcPr>
          <w:p>
            <w:pPr>
              <w:jc w:val="left"/>
            </w:pPr>
            <w:r>
              <w:rPr>
                <w:b/>
                <w:bCs/>
                <w:color w:val="FFFFFF"/>
                <w:sz w:val="20"/>
                <w:szCs w:val="20"/>
              </w:rPr>
              <w:t xml:space="preserve">Custodian</w:t>
            </w:r>
          </w:p>
        </w:tc>
        <w:tc>
          <w:tcPr>
            <w:tcW w:type="dxa" w:w="3000"/>
            <w:shd w:fill="2E5C8A" w:val="clear"/>
            <w:tcMar>
              <w:top w:type="dxa" w:w="100"/>
              <w:left w:type="dxa" w:w="120"/>
              <w:bottom w:type="dxa" w:w="100"/>
              <w:right w:type="dxa" w:w="120"/>
            </w:tcMar>
            <w:vAlign w:val="center"/>
          </w:tcPr>
          <w:p>
            <w:pPr>
              <w:jc w:val="left"/>
            </w:pPr>
            <w:r>
              <w:rPr>
                <w:b/>
                <w:bCs/>
                <w:color w:val="FFFFFF"/>
                <w:sz w:val="20"/>
                <w:szCs w:val="20"/>
              </w:rPr>
              <w:t xml:space="preserve">Access Method</w:t>
            </w:r>
          </w:p>
        </w:tc>
      </w:tr>
      <w:tr>
        <w:tc>
          <w:tcPr>
            <w:tcW w:type="dxa" w:w="3400"/>
            <w:shd w:fill="EAF1F8" w:val="clear"/>
            <w:tcMar>
              <w:top w:type="dxa" w:w="100"/>
              <w:left w:type="dxa" w:w="120"/>
              <w:bottom w:type="dxa" w:w="100"/>
              <w:right w:type="dxa" w:w="120"/>
            </w:tcMar>
            <w:vAlign w:val="center"/>
          </w:tcPr>
          <w:p>
            <w:pPr>
              <w:jc w:val="left"/>
            </w:pPr>
            <w:r>
              <w:rPr>
                <w:b w:val="false"/>
                <w:bCs w:val="false"/>
                <w:color w:val="202020"/>
                <w:sz w:val="20"/>
                <w:szCs w:val="20"/>
              </w:rPr>
              <w:t xml:space="preserve">UN E-Government Survey / EGDI, EPI, LOSI</w:t>
            </w:r>
          </w:p>
        </w:tc>
        <w:tc>
          <w:tcPr>
            <w:tcW w:type="dxa" w:w="3600"/>
            <w:shd w:fill="EAF1F8" w:val="clear"/>
            <w:tcMar>
              <w:top w:type="dxa" w:w="100"/>
              <w:left w:type="dxa" w:w="120"/>
              <w:bottom w:type="dxa" w:w="100"/>
              <w:right w:type="dxa" w:w="120"/>
            </w:tcMar>
            <w:vAlign w:val="center"/>
          </w:tcPr>
          <w:p>
            <w:pPr>
              <w:jc w:val="left"/>
            </w:pPr>
            <w:r>
              <w:rPr>
                <w:b w:val="false"/>
                <w:bCs w:val="false"/>
                <w:color w:val="202020"/>
                <w:sz w:val="20"/>
                <w:szCs w:val="20"/>
              </w:rPr>
              <w:t xml:space="preserve">UN DESA (Division for Public Institutions and Digital Government)</w:t>
            </w:r>
          </w:p>
        </w:tc>
        <w:tc>
          <w:tcPr>
            <w:tcW w:type="dxa" w:w="3000"/>
            <w:shd w:fill="EAF1F8" w:val="clear"/>
            <w:tcMar>
              <w:top w:type="dxa" w:w="100"/>
              <w:left w:type="dxa" w:w="120"/>
              <w:bottom w:type="dxa" w:w="100"/>
              <w:right w:type="dxa" w:w="120"/>
            </w:tcMar>
            <w:vAlign w:val="center"/>
          </w:tcPr>
          <w:p>
            <w:pPr>
              <w:jc w:val="left"/>
            </w:pPr>
            <w:r>
              <w:rPr>
                <w:b w:val="false"/>
                <w:bCs w:val="false"/>
                <w:color w:val="202020"/>
                <w:sz w:val="20"/>
                <w:szCs w:val="20"/>
              </w:rPr>
              <w:t xml:space="preserve">Bulk CSV/XLSX + UNeGovKB online database</w:t>
            </w:r>
          </w:p>
        </w:tc>
      </w:tr>
      <w:tr>
        <w:tc>
          <w:tcPr>
            <w:tcW w:type="dxa" w:w="3400"/>
            <w:shd w:fill="FFFFFF" w:val="clear"/>
            <w:tcMar>
              <w:top w:type="dxa" w:w="100"/>
              <w:left w:type="dxa" w:w="120"/>
              <w:bottom w:type="dxa" w:w="100"/>
              <w:right w:type="dxa" w:w="120"/>
            </w:tcMar>
            <w:vAlign w:val="center"/>
          </w:tcPr>
          <w:p>
            <w:pPr>
              <w:jc w:val="left"/>
            </w:pPr>
            <w:r>
              <w:rPr>
                <w:b w:val="false"/>
                <w:bCs w:val="false"/>
                <w:color w:val="202020"/>
                <w:sz w:val="20"/>
                <w:szCs w:val="20"/>
              </w:rPr>
              <w:t xml:space="preserve">World Development Indicators</w:t>
            </w:r>
          </w:p>
        </w:tc>
        <w:tc>
          <w:tcPr>
            <w:tcW w:type="dxa" w:w="3600"/>
            <w:shd w:fill="FFFFFF" w:val="clear"/>
            <w:tcMar>
              <w:top w:type="dxa" w:w="100"/>
              <w:left w:type="dxa" w:w="120"/>
              <w:bottom w:type="dxa" w:w="100"/>
              <w:right w:type="dxa" w:w="120"/>
            </w:tcMar>
            <w:vAlign w:val="center"/>
          </w:tcPr>
          <w:p>
            <w:pPr>
              <w:jc w:val="left"/>
            </w:pPr>
            <w:r>
              <w:rPr>
                <w:b w:val="false"/>
                <w:bCs w:val="false"/>
                <w:color w:val="202020"/>
                <w:sz w:val="20"/>
                <w:szCs w:val="20"/>
              </w:rPr>
              <w:t xml:space="preserve">World Bank</w:t>
            </w:r>
          </w:p>
        </w:tc>
        <w:tc>
          <w:tcPr>
            <w:tcW w:type="dxa" w:w="3000"/>
            <w:shd w:fill="FFFFFF" w:val="clear"/>
            <w:tcMar>
              <w:top w:type="dxa" w:w="100"/>
              <w:left w:type="dxa" w:w="120"/>
              <w:bottom w:type="dxa" w:w="100"/>
              <w:right w:type="dxa" w:w="120"/>
            </w:tcMar>
            <w:vAlign w:val="center"/>
          </w:tcPr>
          <w:p>
            <w:pPr>
              <w:jc w:val="left"/>
            </w:pPr>
            <w:r>
              <w:rPr>
                <w:b w:val="false"/>
                <w:bCs w:val="false"/>
                <w:color w:val="202020"/>
                <w:sz w:val="20"/>
                <w:szCs w:val="20"/>
              </w:rPr>
              <w:t xml:space="preserve">REST API + bulk CSV</w:t>
            </w:r>
          </w:p>
        </w:tc>
      </w:tr>
      <w:tr>
        <w:tc>
          <w:tcPr>
            <w:tcW w:type="dxa" w:w="3400"/>
            <w:shd w:fill="EAF1F8" w:val="clear"/>
            <w:tcMar>
              <w:top w:type="dxa" w:w="100"/>
              <w:left w:type="dxa" w:w="120"/>
              <w:bottom w:type="dxa" w:w="100"/>
              <w:right w:type="dxa" w:w="120"/>
            </w:tcMar>
            <w:vAlign w:val="center"/>
          </w:tcPr>
          <w:p>
            <w:pPr>
              <w:jc w:val="left"/>
            </w:pPr>
            <w:r>
              <w:rPr>
                <w:b w:val="false"/>
                <w:bCs w:val="false"/>
                <w:color w:val="202020"/>
                <w:sz w:val="20"/>
                <w:szCs w:val="20"/>
              </w:rPr>
              <w:t xml:space="preserve">ICT Statistics / connectivity data</w:t>
            </w:r>
          </w:p>
        </w:tc>
        <w:tc>
          <w:tcPr>
            <w:tcW w:type="dxa" w:w="3600"/>
            <w:shd w:fill="EAF1F8" w:val="clear"/>
            <w:tcMar>
              <w:top w:type="dxa" w:w="100"/>
              <w:left w:type="dxa" w:w="120"/>
              <w:bottom w:type="dxa" w:w="100"/>
              <w:right w:type="dxa" w:w="120"/>
            </w:tcMar>
            <w:vAlign w:val="center"/>
          </w:tcPr>
          <w:p>
            <w:pPr>
              <w:jc w:val="left"/>
            </w:pPr>
            <w:r>
              <w:rPr>
                <w:b w:val="false"/>
                <w:bCs w:val="false"/>
                <w:color w:val="202020"/>
                <w:sz w:val="20"/>
                <w:szCs w:val="20"/>
              </w:rPr>
              <w:t xml:space="preserve">International Telecommunication Union (ITU)</w:t>
            </w:r>
          </w:p>
        </w:tc>
        <w:tc>
          <w:tcPr>
            <w:tcW w:type="dxa" w:w="3000"/>
            <w:shd w:fill="EAF1F8" w:val="clear"/>
            <w:tcMar>
              <w:top w:type="dxa" w:w="100"/>
              <w:left w:type="dxa" w:w="120"/>
              <w:bottom w:type="dxa" w:w="100"/>
              <w:right w:type="dxa" w:w="120"/>
            </w:tcMar>
            <w:vAlign w:val="center"/>
          </w:tcPr>
          <w:p>
            <w:pPr>
              <w:jc w:val="left"/>
            </w:pPr>
            <w:r>
              <w:rPr>
                <w:b w:val="false"/>
                <w:bCs w:val="false"/>
                <w:color w:val="202020"/>
                <w:sz w:val="20"/>
                <w:szCs w:val="20"/>
              </w:rPr>
              <w:t xml:space="preserve">DataHub bulk download</w:t>
            </w:r>
          </w:p>
        </w:tc>
      </w:tr>
      <w:tr>
        <w:tc>
          <w:tcPr>
            <w:tcW w:type="dxa" w:w="3400"/>
            <w:shd w:fill="FFFFFF" w:val="clear"/>
            <w:tcMar>
              <w:top w:type="dxa" w:w="100"/>
              <w:left w:type="dxa" w:w="120"/>
              <w:bottom w:type="dxa" w:w="100"/>
              <w:right w:type="dxa" w:w="120"/>
            </w:tcMar>
            <w:vAlign w:val="center"/>
          </w:tcPr>
          <w:p>
            <w:pPr>
              <w:jc w:val="left"/>
            </w:pPr>
            <w:r>
              <w:rPr>
                <w:b w:val="false"/>
                <w:bCs w:val="false"/>
                <w:color w:val="202020"/>
                <w:sz w:val="20"/>
                <w:szCs w:val="20"/>
              </w:rPr>
              <w:t xml:space="preserve">Worldwide Governance Indicators (WGI)</w:t>
            </w:r>
          </w:p>
        </w:tc>
        <w:tc>
          <w:tcPr>
            <w:tcW w:type="dxa" w:w="3600"/>
            <w:shd w:fill="FFFFFF" w:val="clear"/>
            <w:tcMar>
              <w:top w:type="dxa" w:w="100"/>
              <w:left w:type="dxa" w:w="120"/>
              <w:bottom w:type="dxa" w:w="100"/>
              <w:right w:type="dxa" w:w="120"/>
            </w:tcMar>
            <w:vAlign w:val="center"/>
          </w:tcPr>
          <w:p>
            <w:pPr>
              <w:jc w:val="left"/>
            </w:pPr>
            <w:r>
              <w:rPr>
                <w:b w:val="false"/>
                <w:bCs w:val="false"/>
                <w:color w:val="202020"/>
                <w:sz w:val="20"/>
                <w:szCs w:val="20"/>
              </w:rPr>
              <w:t xml:space="preserve">World Bank</w:t>
            </w:r>
          </w:p>
        </w:tc>
        <w:tc>
          <w:tcPr>
            <w:tcW w:type="dxa" w:w="3000"/>
            <w:shd w:fill="FFFFFF" w:val="clear"/>
            <w:tcMar>
              <w:top w:type="dxa" w:w="100"/>
              <w:left w:type="dxa" w:w="120"/>
              <w:bottom w:type="dxa" w:w="100"/>
              <w:right w:type="dxa" w:w="120"/>
            </w:tcMar>
            <w:vAlign w:val="center"/>
          </w:tcPr>
          <w:p>
            <w:pPr>
              <w:jc w:val="left"/>
            </w:pPr>
            <w:r>
              <w:rPr>
                <w:b w:val="false"/>
                <w:bCs w:val="false"/>
                <w:color w:val="202020"/>
                <w:sz w:val="20"/>
                <w:szCs w:val="20"/>
              </w:rPr>
              <w:t xml:space="preserve">Bulk CSV / API</w:t>
            </w:r>
          </w:p>
        </w:tc>
      </w:tr>
      <w:tr>
        <w:tc>
          <w:tcPr>
            <w:tcW w:type="dxa" w:w="3400"/>
            <w:shd w:fill="EAF1F8" w:val="clear"/>
            <w:tcMar>
              <w:top w:type="dxa" w:w="100"/>
              <w:left w:type="dxa" w:w="120"/>
              <w:bottom w:type="dxa" w:w="100"/>
              <w:right w:type="dxa" w:w="120"/>
            </w:tcMar>
            <w:vAlign w:val="center"/>
          </w:tcPr>
          <w:p>
            <w:pPr>
              <w:jc w:val="left"/>
            </w:pPr>
            <w:r>
              <w:rPr>
                <w:b w:val="false"/>
                <w:bCs w:val="false"/>
                <w:color w:val="202020"/>
                <w:sz w:val="20"/>
                <w:szCs w:val="20"/>
              </w:rPr>
              <w:t xml:space="preserve">Corruption Perceptions Index</w:t>
            </w:r>
          </w:p>
        </w:tc>
        <w:tc>
          <w:tcPr>
            <w:tcW w:type="dxa" w:w="3600"/>
            <w:shd w:fill="EAF1F8" w:val="clear"/>
            <w:tcMar>
              <w:top w:type="dxa" w:w="100"/>
              <w:left w:type="dxa" w:w="120"/>
              <w:bottom w:type="dxa" w:w="100"/>
              <w:right w:type="dxa" w:w="120"/>
            </w:tcMar>
            <w:vAlign w:val="center"/>
          </w:tcPr>
          <w:p>
            <w:pPr>
              <w:jc w:val="left"/>
            </w:pPr>
            <w:r>
              <w:rPr>
                <w:b w:val="false"/>
                <w:bCs w:val="false"/>
                <w:color w:val="202020"/>
                <w:sz w:val="20"/>
                <w:szCs w:val="20"/>
              </w:rPr>
              <w:t xml:space="preserve">Transparency International</w:t>
            </w:r>
          </w:p>
        </w:tc>
        <w:tc>
          <w:tcPr>
            <w:tcW w:type="dxa" w:w="3000"/>
            <w:shd w:fill="EAF1F8" w:val="clear"/>
            <w:tcMar>
              <w:top w:type="dxa" w:w="100"/>
              <w:left w:type="dxa" w:w="120"/>
              <w:bottom w:type="dxa" w:w="100"/>
              <w:right w:type="dxa" w:w="120"/>
            </w:tcMar>
            <w:vAlign w:val="center"/>
          </w:tcPr>
          <w:p>
            <w:pPr>
              <w:jc w:val="left"/>
            </w:pPr>
            <w:r>
              <w:rPr>
                <w:b w:val="false"/>
                <w:bCs w:val="false"/>
                <w:color w:val="202020"/>
                <w:sz w:val="20"/>
                <w:szCs w:val="20"/>
              </w:rPr>
              <w:t xml:space="preserve">Annual CSV release</w:t>
            </w:r>
          </w:p>
        </w:tc>
      </w:tr>
      <w:tr>
        <w:tc>
          <w:tcPr>
            <w:tcW w:type="dxa" w:w="3400"/>
            <w:shd w:fill="FFFFFF" w:val="clear"/>
            <w:tcMar>
              <w:top w:type="dxa" w:w="100"/>
              <w:left w:type="dxa" w:w="120"/>
              <w:bottom w:type="dxa" w:w="100"/>
              <w:right w:type="dxa" w:w="120"/>
            </w:tcMar>
            <w:vAlign w:val="center"/>
          </w:tcPr>
          <w:p>
            <w:pPr>
              <w:jc w:val="left"/>
            </w:pPr>
            <w:r>
              <w:rPr>
                <w:b w:val="false"/>
                <w:bCs w:val="false"/>
                <w:color w:val="202020"/>
                <w:sz w:val="20"/>
                <w:szCs w:val="20"/>
              </w:rPr>
              <w:t xml:space="preserve">Open Data Inventory (ODIN) / Global Open Data Index</w:t>
            </w:r>
          </w:p>
        </w:tc>
        <w:tc>
          <w:tcPr>
            <w:tcW w:type="dxa" w:w="3600"/>
            <w:shd w:fill="FFFFFF" w:val="clear"/>
            <w:tcMar>
              <w:top w:type="dxa" w:w="100"/>
              <w:left w:type="dxa" w:w="120"/>
              <w:bottom w:type="dxa" w:w="100"/>
              <w:right w:type="dxa" w:w="120"/>
            </w:tcMar>
            <w:vAlign w:val="center"/>
          </w:tcPr>
          <w:p>
            <w:pPr>
              <w:jc w:val="left"/>
            </w:pPr>
            <w:r>
              <w:rPr>
                <w:b w:val="false"/>
                <w:bCs w:val="false"/>
                <w:color w:val="202020"/>
                <w:sz w:val="20"/>
                <w:szCs w:val="20"/>
              </w:rPr>
              <w:t xml:space="preserve">Open Data Watch / Open Knowledge Foundation</w:t>
            </w:r>
          </w:p>
        </w:tc>
        <w:tc>
          <w:tcPr>
            <w:tcW w:type="dxa" w:w="3000"/>
            <w:shd w:fill="FFFFFF" w:val="clear"/>
            <w:tcMar>
              <w:top w:type="dxa" w:w="100"/>
              <w:left w:type="dxa" w:w="120"/>
              <w:bottom w:type="dxa" w:w="100"/>
              <w:right w:type="dxa" w:w="120"/>
            </w:tcMar>
            <w:vAlign w:val="center"/>
          </w:tcPr>
          <w:p>
            <w:pPr>
              <w:jc w:val="left"/>
            </w:pPr>
            <w:r>
              <w:rPr>
                <w:b w:val="false"/>
                <w:bCs w:val="false"/>
                <w:color w:val="202020"/>
                <w:sz w:val="20"/>
                <w:szCs w:val="20"/>
              </w:rPr>
              <w:t xml:space="preserve">Published rankings + methodology CSVs</w:t>
            </w:r>
          </w:p>
        </w:tc>
      </w:tr>
      <w:tr>
        <w:tc>
          <w:tcPr>
            <w:tcW w:type="dxa" w:w="3400"/>
            <w:shd w:fill="EAF1F8" w:val="clear"/>
            <w:tcMar>
              <w:top w:type="dxa" w:w="100"/>
              <w:left w:type="dxa" w:w="120"/>
              <w:bottom w:type="dxa" w:w="100"/>
              <w:right w:type="dxa" w:w="120"/>
            </w:tcMar>
            <w:vAlign w:val="center"/>
          </w:tcPr>
          <w:p>
            <w:pPr>
              <w:jc w:val="left"/>
            </w:pPr>
            <w:r>
              <w:rPr>
                <w:b w:val="false"/>
                <w:bCs w:val="false"/>
                <w:color w:val="202020"/>
                <w:sz w:val="20"/>
                <w:szCs w:val="20"/>
              </w:rPr>
              <w:t xml:space="preserve">National Open Government Data portals</w:t>
            </w:r>
          </w:p>
        </w:tc>
        <w:tc>
          <w:tcPr>
            <w:tcW w:type="dxa" w:w="3600"/>
            <w:shd w:fill="EAF1F8" w:val="clear"/>
            <w:tcMar>
              <w:top w:type="dxa" w:w="100"/>
              <w:left w:type="dxa" w:w="120"/>
              <w:bottom w:type="dxa" w:w="100"/>
              <w:right w:type="dxa" w:w="120"/>
            </w:tcMar>
            <w:vAlign w:val="center"/>
          </w:tcPr>
          <w:p>
            <w:pPr>
              <w:jc w:val="left"/>
            </w:pPr>
            <w:r>
              <w:rPr>
                <w:b w:val="false"/>
                <w:bCs w:val="false"/>
                <w:color w:val="202020"/>
                <w:sz w:val="20"/>
                <w:szCs w:val="20"/>
              </w:rPr>
              <w:t xml:space="preserve">Individual national governments</w:t>
            </w:r>
          </w:p>
        </w:tc>
        <w:tc>
          <w:tcPr>
            <w:tcW w:type="dxa" w:w="3000"/>
            <w:shd w:fill="EAF1F8" w:val="clear"/>
            <w:tcMar>
              <w:top w:type="dxa" w:w="100"/>
              <w:left w:type="dxa" w:w="120"/>
              <w:bottom w:type="dxa" w:w="100"/>
              <w:right w:type="dxa" w:w="120"/>
            </w:tcMar>
            <w:vAlign w:val="center"/>
          </w:tcPr>
          <w:p>
            <w:pPr>
              <w:jc w:val="left"/>
            </w:pPr>
            <w:r>
              <w:rPr>
                <w:b w:val="false"/>
                <w:bCs w:val="false"/>
                <w:color w:val="202020"/>
                <w:sz w:val="20"/>
                <w:szCs w:val="20"/>
              </w:rPr>
              <w:t xml:space="preserve">Portal metadata (API where offered, else controlled crawl)</w:t>
            </w:r>
          </w:p>
        </w:tc>
      </w:tr>
    </w:tbl>
    <w:p>
      <w:pPr>
        <w:spacing w:before="200"/>
      </w:pPr>
    </w:p>
    <w:p>
      <w:pPr>
        <w:spacing w:after="160" w:line="300"/>
      </w:pPr>
      <w:r>
        <w:rPr>
          <w:color w:val="202020"/>
          <w:sz w:val="22"/>
          <w:szCs w:val="22"/>
        </w:rPr>
        <w:t xml:space="preserve">All sources listed are publicly published for research and policy use. No source requiring authentication, paid licensing, or terms that prohibit redistribution will be used without separate legal review.</w:t>
      </w:r>
    </w:p>
    <w:p>
      <w:pPr>
        <w:pStyle w:val="Heading1"/>
        <w:spacing w:after="160" w:before="360"/>
      </w:pPr>
      <w:r>
        <w:rPr>
          <w:b/>
          <w:bCs/>
          <w:color w:val="1B3A57"/>
          <w:sz w:val="30"/>
          <w:szCs w:val="30"/>
        </w:rPr>
        <w:t xml:space="preserve">6. Validation and Quality Framework</w:t>
      </w:r>
    </w:p>
    <w:p>
      <w:pPr>
        <w:pStyle w:val="Heading2"/>
        <w:spacing w:after="120" w:before="240"/>
      </w:pPr>
      <w:r>
        <w:rPr>
          <w:b/>
          <w:bCs/>
          <w:color w:val="2E5C8A"/>
          <w:sz w:val="24"/>
          <w:szCs w:val="24"/>
        </w:rPr>
        <w:t xml:space="preserve">6.1 Quality Dimensions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3200"/>
      </w:tblGrid>
      <w:tr>
        <w:trPr>
          <w:tblHeader/>
        </w:trPr>
        <w:tc>
          <w:tcPr>
            <w:tcW w:type="dxa" w:w="2400"/>
            <w:shd w:fill="2E5C8A" w:val="clear"/>
            <w:tcMar>
              <w:top w:type="dxa" w:w="100"/>
              <w:left w:type="dxa" w:w="120"/>
              <w:bottom w:type="dxa" w:w="100"/>
              <w:right w:type="dxa" w:w="120"/>
            </w:tcMar>
            <w:vAlign w:val="center"/>
          </w:tcPr>
          <w:p>
            <w:pPr>
              <w:jc w:val="left"/>
            </w:pPr>
            <w:r>
              <w:rPr>
                <w:b/>
                <w:bCs/>
                <w:color w:val="FFFFFF"/>
                <w:sz w:val="20"/>
                <w:szCs w:val="20"/>
              </w:rPr>
              <w:t xml:space="preserve">Dimension</w:t>
            </w:r>
          </w:p>
        </w:tc>
        <w:tc>
          <w:tcPr>
            <w:tcW w:type="dxa" w:w="4400"/>
            <w:shd w:fill="2E5C8A" w:val="clear"/>
            <w:tcMar>
              <w:top w:type="dxa" w:w="100"/>
              <w:left w:type="dxa" w:w="120"/>
              <w:bottom w:type="dxa" w:w="100"/>
              <w:right w:type="dxa" w:w="120"/>
            </w:tcMar>
            <w:vAlign w:val="center"/>
          </w:tcPr>
          <w:p>
            <w:pPr>
              <w:jc w:val="left"/>
            </w:pPr>
            <w:r>
              <w:rPr>
                <w:b/>
                <w:bCs/>
                <w:color w:val="FFFFFF"/>
                <w:sz w:val="20"/>
                <w:szCs w:val="20"/>
              </w:rPr>
              <w:t xml:space="preserve">Definition</w:t>
            </w:r>
          </w:p>
        </w:tc>
        <w:tc>
          <w:tcPr>
            <w:tcW w:type="dxa" w:w="3200"/>
            <w:shd w:fill="2E5C8A" w:val="clear"/>
            <w:tcMar>
              <w:top w:type="dxa" w:w="100"/>
              <w:left w:type="dxa" w:w="120"/>
              <w:bottom w:type="dxa" w:w="100"/>
              <w:right w:type="dxa" w:w="120"/>
            </w:tcMar>
            <w:vAlign w:val="center"/>
          </w:tcPr>
          <w:p>
            <w:pPr>
              <w:jc w:val="left"/>
            </w:pPr>
            <w:r>
              <w:rPr>
                <w:b/>
                <w:bCs/>
                <w:color w:val="FFFFFF"/>
                <w:sz w:val="20"/>
                <w:szCs w:val="20"/>
              </w:rPr>
              <w:t xml:space="preserve">Metric / Threshold</w:t>
            </w:r>
          </w:p>
        </w:tc>
      </w:tr>
      <w:tr>
        <w:tc>
          <w:tcPr>
            <w:tcW w:type="dxa" w:w="2400"/>
            <w:shd w:fill="EAF1F8" w:val="clear"/>
            <w:tcMar>
              <w:top w:type="dxa" w:w="100"/>
              <w:left w:type="dxa" w:w="120"/>
              <w:bottom w:type="dxa" w:w="100"/>
              <w:right w:type="dxa" w:w="120"/>
            </w:tcMar>
            <w:vAlign w:val="center"/>
          </w:tcPr>
          <w:p>
            <w:pPr>
              <w:jc w:val="left"/>
            </w:pPr>
            <w:r>
              <w:rPr>
                <w:b w:val="false"/>
                <w:bCs w:val="false"/>
                <w:color w:val="202020"/>
                <w:sz w:val="20"/>
                <w:szCs w:val="20"/>
              </w:rPr>
              <w:t xml:space="preserve">Relevancy</w:t>
            </w:r>
          </w:p>
        </w:tc>
        <w:tc>
          <w:tcPr>
            <w:tcW w:type="dxa" w:w="4400"/>
            <w:shd w:fill="EAF1F8" w:val="clear"/>
            <w:tcMar>
              <w:top w:type="dxa" w:w="100"/>
              <w:left w:type="dxa" w:w="120"/>
              <w:bottom w:type="dxa" w:w="100"/>
              <w:right w:type="dxa" w:w="120"/>
            </w:tcMar>
            <w:vAlign w:val="center"/>
          </w:tcPr>
          <w:p>
            <w:pPr>
              <w:jc w:val="left"/>
            </w:pPr>
            <w:r>
              <w:rPr>
                <w:b w:val="false"/>
                <w:bCs w:val="false"/>
                <w:color w:val="202020"/>
                <w:sz w:val="20"/>
                <w:szCs w:val="20"/>
              </w:rPr>
              <w:t xml:space="preserve">Indicator maps clearly to a defined e-governance construct</w:t>
            </w:r>
          </w:p>
        </w:tc>
        <w:tc>
          <w:tcPr>
            <w:tcW w:type="dxa" w:w="3200"/>
            <w:shd w:fill="EAF1F8" w:val="clear"/>
            <w:tcMar>
              <w:top w:type="dxa" w:w="100"/>
              <w:left w:type="dxa" w:w="120"/>
              <w:bottom w:type="dxa" w:w="100"/>
              <w:right w:type="dxa" w:w="120"/>
            </w:tcMar>
            <w:vAlign w:val="center"/>
          </w:tcPr>
          <w:p>
            <w:pPr>
              <w:jc w:val="left"/>
            </w:pPr>
            <w:r>
              <w:rPr>
                <w:b w:val="false"/>
                <w:bCs w:val="false"/>
                <w:color w:val="202020"/>
                <w:sz w:val="20"/>
                <w:szCs w:val="20"/>
              </w:rPr>
              <w:t xml:space="preserve">Mapped to indicator taxonomy; unmapped fields excluded</w:t>
            </w:r>
          </w:p>
        </w:tc>
      </w:tr>
      <w:tr>
        <w:tc>
          <w:tcPr>
            <w:tcW w:type="dxa" w:w="2400"/>
            <w:shd w:fill="FFFFFF" w:val="clear"/>
            <w:tcMar>
              <w:top w:type="dxa" w:w="100"/>
              <w:left w:type="dxa" w:w="120"/>
              <w:bottom w:type="dxa" w:w="100"/>
              <w:right w:type="dxa" w:w="120"/>
            </w:tcMar>
            <w:vAlign w:val="center"/>
          </w:tcPr>
          <w:p>
            <w:pPr>
              <w:jc w:val="left"/>
            </w:pPr>
            <w:r>
              <w:rPr>
                <w:b w:val="false"/>
                <w:bCs w:val="false"/>
                <w:color w:val="202020"/>
                <w:sz w:val="20"/>
                <w:szCs w:val="20"/>
              </w:rPr>
              <w:t xml:space="preserve">Timeliness</w:t>
            </w:r>
          </w:p>
        </w:tc>
        <w:tc>
          <w:tcPr>
            <w:tcW w:type="dxa" w:w="4400"/>
            <w:shd w:fill="FFFFFF" w:val="clear"/>
            <w:tcMar>
              <w:top w:type="dxa" w:w="100"/>
              <w:left w:type="dxa" w:w="120"/>
              <w:bottom w:type="dxa" w:w="100"/>
              <w:right w:type="dxa" w:w="120"/>
            </w:tcMar>
            <w:vAlign w:val="center"/>
          </w:tcPr>
          <w:p>
            <w:pPr>
              <w:jc w:val="left"/>
            </w:pPr>
            <w:r>
              <w:rPr>
                <w:b w:val="false"/>
                <w:bCs w:val="false"/>
                <w:color w:val="202020"/>
                <w:sz w:val="20"/>
                <w:szCs w:val="20"/>
              </w:rPr>
              <w:t xml:space="preserve">Data reflects the most recent available reporting cycle</w:t>
            </w:r>
          </w:p>
        </w:tc>
        <w:tc>
          <w:tcPr>
            <w:tcW w:type="dxa" w:w="3200"/>
            <w:shd w:fill="FFFFFF" w:val="clear"/>
            <w:tcMar>
              <w:top w:type="dxa" w:w="100"/>
              <w:left w:type="dxa" w:w="120"/>
              <w:bottom w:type="dxa" w:w="100"/>
              <w:right w:type="dxa" w:w="120"/>
            </w:tcMar>
            <w:vAlign w:val="center"/>
          </w:tcPr>
          <w:p>
            <w:pPr>
              <w:jc w:val="left"/>
            </w:pPr>
            <w:r>
              <w:rPr>
                <w:b w:val="false"/>
                <w:bCs w:val="false"/>
                <w:color w:val="202020"/>
                <w:sz w:val="20"/>
                <w:szCs w:val="20"/>
              </w:rPr>
              <w:t xml:space="preserve">Flagged if source data is older than 2 reporting cycles</w:t>
            </w:r>
          </w:p>
        </w:tc>
      </w:tr>
      <w:tr>
        <w:tc>
          <w:tcPr>
            <w:tcW w:type="dxa" w:w="2400"/>
            <w:shd w:fill="EAF1F8" w:val="clear"/>
            <w:tcMar>
              <w:top w:type="dxa" w:w="100"/>
              <w:left w:type="dxa" w:w="120"/>
              <w:bottom w:type="dxa" w:w="100"/>
              <w:right w:type="dxa" w:w="120"/>
            </w:tcMar>
            <w:vAlign w:val="center"/>
          </w:tcPr>
          <w:p>
            <w:pPr>
              <w:jc w:val="left"/>
            </w:pPr>
            <w:r>
              <w:rPr>
                <w:b w:val="false"/>
                <w:bCs w:val="false"/>
                <w:color w:val="202020"/>
                <w:sz w:val="20"/>
                <w:szCs w:val="20"/>
              </w:rPr>
              <w:t xml:space="preserve">Accuracy</w:t>
            </w:r>
          </w:p>
        </w:tc>
        <w:tc>
          <w:tcPr>
            <w:tcW w:type="dxa" w:w="4400"/>
            <w:shd w:fill="EAF1F8" w:val="clear"/>
            <w:tcMar>
              <w:top w:type="dxa" w:w="100"/>
              <w:left w:type="dxa" w:w="120"/>
              <w:bottom w:type="dxa" w:w="100"/>
              <w:right w:type="dxa" w:w="120"/>
            </w:tcMar>
            <w:vAlign w:val="center"/>
          </w:tcPr>
          <w:p>
            <w:pPr>
              <w:jc w:val="left"/>
            </w:pPr>
            <w:r>
              <w:rPr>
                <w:b w:val="false"/>
                <w:bCs w:val="false"/>
                <w:color w:val="202020"/>
                <w:sz w:val="20"/>
                <w:szCs w:val="20"/>
              </w:rPr>
              <w:t xml:space="preserve">Values match the original publisher figures</w:t>
            </w:r>
          </w:p>
        </w:tc>
        <w:tc>
          <w:tcPr>
            <w:tcW w:type="dxa" w:w="3200"/>
            <w:shd w:fill="EAF1F8" w:val="clear"/>
            <w:tcMar>
              <w:top w:type="dxa" w:w="100"/>
              <w:left w:type="dxa" w:w="120"/>
              <w:bottom w:type="dxa" w:w="100"/>
              <w:right w:type="dxa" w:w="120"/>
            </w:tcMar>
            <w:vAlign w:val="center"/>
          </w:tcPr>
          <w:p>
            <w:pPr>
              <w:jc w:val="left"/>
            </w:pPr>
            <w:r>
              <w:rPr>
                <w:b w:val="false"/>
                <w:bCs w:val="false"/>
                <w:color w:val="202020"/>
                <w:sz w:val="20"/>
                <w:szCs w:val="20"/>
              </w:rPr>
              <w:t xml:space="preserve">100% match on spot-checked sample (≥10% of records)</w:t>
            </w:r>
          </w:p>
        </w:tc>
      </w:tr>
      <w:tr>
        <w:tc>
          <w:tcPr>
            <w:tcW w:type="dxa" w:w="2400"/>
            <w:shd w:fill="FFFFFF" w:val="clear"/>
            <w:tcMar>
              <w:top w:type="dxa" w:w="100"/>
              <w:left w:type="dxa" w:w="120"/>
              <w:bottom w:type="dxa" w:w="100"/>
              <w:right w:type="dxa" w:w="120"/>
            </w:tcMar>
            <w:vAlign w:val="center"/>
          </w:tcPr>
          <w:p>
            <w:pPr>
              <w:jc w:val="left"/>
            </w:pPr>
            <w:r>
              <w:rPr>
                <w:b w:val="false"/>
                <w:bCs w:val="false"/>
                <w:color w:val="202020"/>
                <w:sz w:val="20"/>
                <w:szCs w:val="20"/>
              </w:rPr>
              <w:t xml:space="preserve">Completeness</w:t>
            </w:r>
          </w:p>
        </w:tc>
        <w:tc>
          <w:tcPr>
            <w:tcW w:type="dxa" w:w="4400"/>
            <w:shd w:fill="FFFFFF" w:val="clear"/>
            <w:tcMar>
              <w:top w:type="dxa" w:w="100"/>
              <w:left w:type="dxa" w:w="120"/>
              <w:bottom w:type="dxa" w:w="100"/>
              <w:right w:type="dxa" w:w="120"/>
            </w:tcMar>
            <w:vAlign w:val="center"/>
          </w:tcPr>
          <w:p>
            <w:pPr>
              <w:jc w:val="left"/>
            </w:pPr>
            <w:r>
              <w:rPr>
                <w:b w:val="false"/>
                <w:bCs w:val="false"/>
                <w:color w:val="202020"/>
                <w:sz w:val="20"/>
                <w:szCs w:val="20"/>
              </w:rPr>
              <w:t xml:space="preserve">Required fields populated for the country/entity set in scope</w:t>
            </w:r>
          </w:p>
        </w:tc>
        <w:tc>
          <w:tcPr>
            <w:tcW w:type="dxa" w:w="3200"/>
            <w:shd w:fill="FFFFFF" w:val="clear"/>
            <w:tcMar>
              <w:top w:type="dxa" w:w="100"/>
              <w:left w:type="dxa" w:w="120"/>
              <w:bottom w:type="dxa" w:w="100"/>
              <w:right w:type="dxa" w:w="120"/>
            </w:tcMar>
            <w:vAlign w:val="center"/>
          </w:tcPr>
          <w:p>
            <w:pPr>
              <w:jc w:val="left"/>
            </w:pPr>
            <w:r>
              <w:rPr>
                <w:b w:val="false"/>
                <w:bCs w:val="false"/>
                <w:color w:val="202020"/>
                <w:sz w:val="20"/>
                <w:szCs w:val="20"/>
              </w:rPr>
              <w:t xml:space="preserve">≥95% field completeness before inclusion</w:t>
            </w:r>
          </w:p>
        </w:tc>
      </w:tr>
      <w:tr>
        <w:tc>
          <w:tcPr>
            <w:tcW w:type="dxa" w:w="2400"/>
            <w:shd w:fill="EAF1F8" w:val="clear"/>
            <w:tcMar>
              <w:top w:type="dxa" w:w="100"/>
              <w:left w:type="dxa" w:w="120"/>
              <w:bottom w:type="dxa" w:w="100"/>
              <w:right w:type="dxa" w:w="120"/>
            </w:tcMar>
            <w:vAlign w:val="center"/>
          </w:tcPr>
          <w:p>
            <w:pPr>
              <w:jc w:val="left"/>
            </w:pPr>
            <w:r>
              <w:rPr>
                <w:b w:val="false"/>
                <w:bCs w:val="false"/>
                <w:color w:val="202020"/>
                <w:sz w:val="20"/>
                <w:szCs w:val="20"/>
              </w:rPr>
              <w:t xml:space="preserve">Comparability</w:t>
            </w:r>
          </w:p>
        </w:tc>
        <w:tc>
          <w:tcPr>
            <w:tcW w:type="dxa" w:w="4400"/>
            <w:shd w:fill="EAF1F8" w:val="clear"/>
            <w:tcMar>
              <w:top w:type="dxa" w:w="100"/>
              <w:left w:type="dxa" w:w="120"/>
              <w:bottom w:type="dxa" w:w="100"/>
              <w:right w:type="dxa" w:w="120"/>
            </w:tcMar>
            <w:vAlign w:val="center"/>
          </w:tcPr>
          <w:p>
            <w:pPr>
              <w:jc w:val="left"/>
            </w:pPr>
            <w:r>
              <w:rPr>
                <w:b w:val="false"/>
                <w:bCs w:val="false"/>
                <w:color w:val="202020"/>
                <w:sz w:val="20"/>
                <w:szCs w:val="20"/>
              </w:rPr>
              <w:t xml:space="preserve">Consistent units, definitions, and time periods across countries</w:t>
            </w:r>
          </w:p>
        </w:tc>
        <w:tc>
          <w:tcPr>
            <w:tcW w:type="dxa" w:w="3200"/>
            <w:shd w:fill="EAF1F8" w:val="clear"/>
            <w:tcMar>
              <w:top w:type="dxa" w:w="100"/>
              <w:left w:type="dxa" w:w="120"/>
              <w:bottom w:type="dxa" w:w="100"/>
              <w:right w:type="dxa" w:w="120"/>
            </w:tcMar>
            <w:vAlign w:val="center"/>
          </w:tcPr>
          <w:p>
            <w:pPr>
              <w:jc w:val="left"/>
            </w:pPr>
            <w:r>
              <w:rPr>
                <w:b w:val="false"/>
                <w:bCs w:val="false"/>
                <w:color w:val="202020"/>
                <w:sz w:val="20"/>
                <w:szCs w:val="20"/>
              </w:rPr>
              <w:t xml:space="preserve">Standardized via a shared schema and unit-conversion layer</w:t>
            </w:r>
          </w:p>
        </w:tc>
      </w:tr>
    </w:tbl>
    <w:p>
      <w:pPr>
        <w:spacing w:before="200"/>
      </w:pPr>
    </w:p>
    <w:p>
      <w:pPr>
        <w:pStyle w:val="Heading2"/>
        <w:spacing w:after="120" w:before="240"/>
      </w:pPr>
      <w:r>
        <w:rPr>
          <w:b/>
          <w:bCs/>
          <w:color w:val="2E5C8A"/>
          <w:sz w:val="24"/>
          <w:szCs w:val="24"/>
        </w:rPr>
        <w:t xml:space="preserve">6.2 Validation Steps</w:t>
      </w:r>
    </w:p>
    <w:p>
      <w:pPr>
        <w:pStyle w:val="ListParagraph"/>
        <w:numPr>
          <w:ilvl w:val="0"/>
          <w:numId w:val="3"/>
        </w:numPr>
        <w:spacing w:after="90" w:line="290"/>
      </w:pPr>
      <w:r>
        <w:rPr>
          <w:color w:val="202020"/>
          <w:sz w:val="22"/>
          <w:szCs w:val="22"/>
        </w:rPr>
        <w:t xml:space="preserve">Automated schema validation on ingest (data types, ranges, required fields) with failed records quarantined, not silently dropped.</w:t>
      </w:r>
    </w:p>
    <w:p>
      <w:pPr>
        <w:pStyle w:val="ListParagraph"/>
        <w:numPr>
          <w:ilvl w:val="0"/>
          <w:numId w:val="3"/>
        </w:numPr>
        <w:spacing w:after="90" w:line="290"/>
      </w:pPr>
      <w:r>
        <w:rPr>
          <w:color w:val="202020"/>
          <w:sz w:val="22"/>
          <w:szCs w:val="22"/>
        </w:rPr>
        <w:t xml:space="preserve">Cross-source reconciliation — where two sources report the same underlying metric (e.g., internet penetration from both ITU and World Bank), values are compared and discrepancies above a defined tolerance are flagged for manual review.</w:t>
      </w:r>
    </w:p>
    <w:p>
      <w:pPr>
        <w:pStyle w:val="ListParagraph"/>
        <w:numPr>
          <w:ilvl w:val="0"/>
          <w:numId w:val="3"/>
        </w:numPr>
        <w:spacing w:after="90" w:line="290"/>
      </w:pPr>
      <w:r>
        <w:rPr>
          <w:color w:val="202020"/>
          <w:sz w:val="22"/>
          <w:szCs w:val="22"/>
        </w:rPr>
        <w:t xml:space="preserve">Provenance logging — every record retains its source URL, retrieval date, and collection method for full auditability.</w:t>
      </w:r>
    </w:p>
    <w:p>
      <w:pPr>
        <w:pStyle w:val="ListParagraph"/>
        <w:numPr>
          <w:ilvl w:val="0"/>
          <w:numId w:val="3"/>
        </w:numPr>
        <w:spacing w:after="90" w:line="290"/>
      </w:pPr>
      <w:r>
        <w:rPr>
          <w:color w:val="202020"/>
          <w:sz w:val="22"/>
          <w:szCs w:val="22"/>
        </w:rPr>
        <w:t xml:space="preserve">Second-reviewer sign-off on any manually collected or scraped field before it enters the working dataset.</w:t>
      </w:r>
    </w:p>
    <w:p>
      <w:pPr>
        <w:pStyle w:val="ListParagraph"/>
        <w:numPr>
          <w:ilvl w:val="0"/>
          <w:numId w:val="3"/>
        </w:numPr>
        <w:spacing w:after="90" w:line="290"/>
      </w:pPr>
      <w:r>
        <w:rPr>
          <w:color w:val="202020"/>
          <w:sz w:val="22"/>
          <w:szCs w:val="22"/>
        </w:rPr>
        <w:t xml:space="preserve">Periodic re-validation — a rolling 10% sample of the dataset is re-checked against source each quarter to catch silent source-side changes.</w:t>
      </w:r>
    </w:p>
    <w:p>
      <w:pPr>
        <w:pStyle w:val="Heading1"/>
        <w:spacing w:after="160" w:before="360"/>
      </w:pPr>
      <w:r>
        <w:rPr>
          <w:b/>
          <w:bCs/>
          <w:color w:val="1B3A57"/>
          <w:sz w:val="30"/>
          <w:szCs w:val="30"/>
        </w:rPr>
        <w:t xml:space="preserve">7. Timeline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4400"/>
      </w:tblGrid>
      <w:tr>
        <w:trPr>
          <w:tblHeader/>
        </w:trPr>
        <w:tc>
          <w:tcPr>
            <w:tcW w:type="dxa" w:w="3600"/>
            <w:shd w:fill="2E5C8A" w:val="clear"/>
            <w:tcMar>
              <w:top w:type="dxa" w:w="100"/>
              <w:left w:type="dxa" w:w="120"/>
              <w:bottom w:type="dxa" w:w="100"/>
              <w:right w:type="dxa" w:w="120"/>
            </w:tcMar>
            <w:vAlign w:val="center"/>
          </w:tcPr>
          <w:p>
            <w:pPr>
              <w:jc w:val="left"/>
            </w:pPr>
            <w:r>
              <w:rPr>
                <w:b/>
                <w:bCs/>
                <w:color w:val="FFFFFF"/>
                <w:sz w:val="20"/>
                <w:szCs w:val="20"/>
              </w:rPr>
              <w:t xml:space="preserve">Phase</w:t>
            </w:r>
          </w:p>
        </w:tc>
        <w:tc>
          <w:tcPr>
            <w:tcW w:type="dxa" w:w="2000"/>
            <w:shd w:fill="2E5C8A" w:val="clear"/>
            <w:tcMar>
              <w:top w:type="dxa" w:w="100"/>
              <w:left w:type="dxa" w:w="120"/>
              <w:bottom w:type="dxa" w:w="100"/>
              <w:right w:type="dxa" w:w="120"/>
            </w:tcMar>
            <w:vAlign w:val="center"/>
          </w:tcPr>
          <w:p>
            <w:pPr>
              <w:jc w:val="left"/>
            </w:pPr>
            <w:r>
              <w:rPr>
                <w:b/>
                <w:bCs/>
                <w:color w:val="FFFFFF"/>
                <w:sz w:val="20"/>
                <w:szCs w:val="20"/>
              </w:rPr>
              <w:t xml:space="preserve">Duration</w:t>
            </w:r>
          </w:p>
        </w:tc>
        <w:tc>
          <w:tcPr>
            <w:tcW w:type="dxa" w:w="4400"/>
            <w:shd w:fill="2E5C8A" w:val="clear"/>
            <w:tcMar>
              <w:top w:type="dxa" w:w="100"/>
              <w:left w:type="dxa" w:w="120"/>
              <w:bottom w:type="dxa" w:w="100"/>
              <w:right w:type="dxa" w:w="120"/>
            </w:tcMar>
            <w:vAlign w:val="center"/>
          </w:tcPr>
          <w:p>
            <w:pPr>
              <w:jc w:val="left"/>
            </w:pPr>
            <w:r>
              <w:rPr>
                <w:b/>
                <w:bCs/>
                <w:color w:val="FFFFFF"/>
                <w:sz w:val="20"/>
                <w:szCs w:val="20"/>
              </w:rPr>
              <w:t xml:space="preserve">Key Activities</w:t>
            </w:r>
          </w:p>
        </w:tc>
      </w:tr>
      <w:tr>
        <w:tc>
          <w:tcPr>
            <w:tcW w:type="dxa" w:w="3600"/>
            <w:shd w:fill="EAF1F8" w:val="clear"/>
            <w:tcMar>
              <w:top w:type="dxa" w:w="100"/>
              <w:left w:type="dxa" w:w="120"/>
              <w:bottom w:type="dxa" w:w="100"/>
              <w:right w:type="dxa" w:w="120"/>
            </w:tcMar>
            <w:vAlign w:val="center"/>
          </w:tcPr>
          <w:p>
            <w:pPr>
              <w:jc w:val="left"/>
            </w:pPr>
            <w:r>
              <w:rPr>
                <w:b w:val="false"/>
                <w:bCs w:val="false"/>
                <w:color w:val="202020"/>
                <w:sz w:val="20"/>
                <w:szCs w:val="20"/>
              </w:rPr>
              <w:t xml:space="preserve">Phase 1 — Scoping &amp; Source Mapping</w:t>
            </w:r>
          </w:p>
        </w:tc>
        <w:tc>
          <w:tcPr>
            <w:tcW w:type="dxa" w:w="2000"/>
            <w:shd w:fill="EAF1F8" w:val="clear"/>
            <w:tcMar>
              <w:top w:type="dxa" w:w="100"/>
              <w:left w:type="dxa" w:w="120"/>
              <w:bottom w:type="dxa" w:w="100"/>
              <w:right w:type="dxa" w:w="120"/>
            </w:tcMar>
            <w:vAlign w:val="center"/>
          </w:tcPr>
          <w:p>
            <w:pPr>
              <w:jc w:val="left"/>
            </w:pPr>
            <w:r>
              <w:rPr>
                <w:b w:val="false"/>
                <w:bCs w:val="false"/>
                <w:color w:val="202020"/>
                <w:sz w:val="20"/>
                <w:szCs w:val="20"/>
              </w:rPr>
              <w:t xml:space="preserve">Week 1</w:t>
            </w:r>
          </w:p>
        </w:tc>
        <w:tc>
          <w:tcPr>
            <w:tcW w:type="dxa" w:w="4400"/>
            <w:shd w:fill="EAF1F8" w:val="clear"/>
            <w:tcMar>
              <w:top w:type="dxa" w:w="100"/>
              <w:left w:type="dxa" w:w="120"/>
              <w:bottom w:type="dxa" w:w="100"/>
              <w:right w:type="dxa" w:w="120"/>
            </w:tcMar>
            <w:vAlign w:val="center"/>
          </w:tcPr>
          <w:p>
            <w:pPr>
              <w:jc w:val="left"/>
            </w:pPr>
            <w:r>
              <w:rPr>
                <w:b w:val="false"/>
                <w:bCs w:val="false"/>
                <w:color w:val="202020"/>
                <w:sz w:val="20"/>
                <w:szCs w:val="20"/>
              </w:rPr>
              <w:t xml:space="preserve">Finalize indicator list, confirm source access terms, draft this strategic plan</w:t>
            </w:r>
          </w:p>
        </w:tc>
      </w:tr>
      <w:tr>
        <w:tc>
          <w:tcPr>
            <w:tcW w:type="dxa" w:w="3600"/>
            <w:shd w:fill="FFFFFF" w:val="clear"/>
            <w:tcMar>
              <w:top w:type="dxa" w:w="100"/>
              <w:left w:type="dxa" w:w="120"/>
              <w:bottom w:type="dxa" w:w="100"/>
              <w:right w:type="dxa" w:w="120"/>
            </w:tcMar>
            <w:vAlign w:val="center"/>
          </w:tcPr>
          <w:p>
            <w:pPr>
              <w:jc w:val="left"/>
            </w:pPr>
            <w:r>
              <w:rPr>
                <w:b w:val="false"/>
                <w:bCs w:val="false"/>
                <w:color w:val="202020"/>
                <w:sz w:val="20"/>
                <w:szCs w:val="20"/>
              </w:rPr>
              <w:t xml:space="preserve">Phase 2 — Tooling &amp; Pipeline Setup</w:t>
            </w:r>
          </w:p>
        </w:tc>
        <w:tc>
          <w:tcPr>
            <w:tcW w:type="dxa" w:w="2000"/>
            <w:shd w:fill="FFFFFF" w:val="clear"/>
            <w:tcMar>
              <w:top w:type="dxa" w:w="100"/>
              <w:left w:type="dxa" w:w="120"/>
              <w:bottom w:type="dxa" w:w="100"/>
              <w:right w:type="dxa" w:w="120"/>
            </w:tcMar>
            <w:vAlign w:val="center"/>
          </w:tcPr>
          <w:p>
            <w:pPr>
              <w:jc w:val="left"/>
            </w:pPr>
            <w:r>
              <w:rPr>
                <w:b w:val="false"/>
                <w:bCs w:val="false"/>
                <w:color w:val="202020"/>
                <w:sz w:val="20"/>
                <w:szCs w:val="20"/>
              </w:rPr>
              <w:t xml:space="preserve">Weeks 2–3</w:t>
            </w:r>
          </w:p>
        </w:tc>
        <w:tc>
          <w:tcPr>
            <w:tcW w:type="dxa" w:w="4400"/>
            <w:shd w:fill="FFFFFF" w:val="clear"/>
            <w:tcMar>
              <w:top w:type="dxa" w:w="100"/>
              <w:left w:type="dxa" w:w="120"/>
              <w:bottom w:type="dxa" w:w="100"/>
              <w:right w:type="dxa" w:w="120"/>
            </w:tcMar>
            <w:vAlign w:val="center"/>
          </w:tcPr>
          <w:p>
            <w:pPr>
              <w:jc w:val="left"/>
            </w:pPr>
            <w:r>
              <w:rPr>
                <w:b w:val="false"/>
                <w:bCs w:val="false"/>
                <w:color w:val="202020"/>
                <w:sz w:val="20"/>
                <w:szCs w:val="20"/>
              </w:rPr>
              <w:t xml:space="preserve">Build API connectors, scraping scripts (where needed), and the schema-validation layer</w:t>
            </w:r>
          </w:p>
        </w:tc>
      </w:tr>
      <w:tr>
        <w:tc>
          <w:tcPr>
            <w:tcW w:type="dxa" w:w="3600"/>
            <w:shd w:fill="EAF1F8" w:val="clear"/>
            <w:tcMar>
              <w:top w:type="dxa" w:w="100"/>
              <w:left w:type="dxa" w:w="120"/>
              <w:bottom w:type="dxa" w:w="100"/>
              <w:right w:type="dxa" w:w="120"/>
            </w:tcMar>
            <w:vAlign w:val="center"/>
          </w:tcPr>
          <w:p>
            <w:pPr>
              <w:jc w:val="left"/>
            </w:pPr>
            <w:r>
              <w:rPr>
                <w:b w:val="false"/>
                <w:bCs w:val="false"/>
                <w:color w:val="202020"/>
                <w:sz w:val="20"/>
                <w:szCs w:val="20"/>
              </w:rPr>
              <w:t xml:space="preserve">Phase 3 — Initial Collection</w:t>
            </w:r>
          </w:p>
        </w:tc>
        <w:tc>
          <w:tcPr>
            <w:tcW w:type="dxa" w:w="2000"/>
            <w:shd w:fill="EAF1F8" w:val="clear"/>
            <w:tcMar>
              <w:top w:type="dxa" w:w="100"/>
              <w:left w:type="dxa" w:w="120"/>
              <w:bottom w:type="dxa" w:w="100"/>
              <w:right w:type="dxa" w:w="120"/>
            </w:tcMar>
            <w:vAlign w:val="center"/>
          </w:tcPr>
          <w:p>
            <w:pPr>
              <w:jc w:val="left"/>
            </w:pPr>
            <w:r>
              <w:rPr>
                <w:b w:val="false"/>
                <w:bCs w:val="false"/>
                <w:color w:val="202020"/>
                <w:sz w:val="20"/>
                <w:szCs w:val="20"/>
              </w:rPr>
              <w:t xml:space="preserve">Weeks 4–5</w:t>
            </w:r>
          </w:p>
        </w:tc>
        <w:tc>
          <w:tcPr>
            <w:tcW w:type="dxa" w:w="4400"/>
            <w:shd w:fill="EAF1F8" w:val="clear"/>
            <w:tcMar>
              <w:top w:type="dxa" w:w="100"/>
              <w:left w:type="dxa" w:w="120"/>
              <w:bottom w:type="dxa" w:w="100"/>
              <w:right w:type="dxa" w:w="120"/>
            </w:tcMar>
            <w:vAlign w:val="center"/>
          </w:tcPr>
          <w:p>
            <w:pPr>
              <w:jc w:val="left"/>
            </w:pPr>
            <w:r>
              <w:rPr>
                <w:b w:val="false"/>
                <w:bCs w:val="false"/>
                <w:color w:val="202020"/>
                <w:sz w:val="20"/>
                <w:szCs w:val="20"/>
              </w:rPr>
              <w:t xml:space="preserve">Pull composite indices and infrastructure data; populate baseline dataset</w:t>
            </w:r>
          </w:p>
        </w:tc>
      </w:tr>
      <w:tr>
        <w:tc>
          <w:tcPr>
            <w:tcW w:type="dxa" w:w="3600"/>
            <w:shd w:fill="FFFFFF" w:val="clear"/>
            <w:tcMar>
              <w:top w:type="dxa" w:w="100"/>
              <w:left w:type="dxa" w:w="120"/>
              <w:bottom w:type="dxa" w:w="100"/>
              <w:right w:type="dxa" w:w="120"/>
            </w:tcMar>
            <w:vAlign w:val="center"/>
          </w:tcPr>
          <w:p>
            <w:pPr>
              <w:jc w:val="left"/>
            </w:pPr>
            <w:r>
              <w:rPr>
                <w:b w:val="false"/>
                <w:bCs w:val="false"/>
                <w:color w:val="202020"/>
                <w:sz w:val="20"/>
                <w:szCs w:val="20"/>
              </w:rPr>
              <w:t xml:space="preserve">Phase 4 — Validation &amp; Cleaning</w:t>
            </w:r>
          </w:p>
        </w:tc>
        <w:tc>
          <w:tcPr>
            <w:tcW w:type="dxa" w:w="2000"/>
            <w:shd w:fill="FFFFFF" w:val="clear"/>
            <w:tcMar>
              <w:top w:type="dxa" w:w="100"/>
              <w:left w:type="dxa" w:w="120"/>
              <w:bottom w:type="dxa" w:w="100"/>
              <w:right w:type="dxa" w:w="120"/>
            </w:tcMar>
            <w:vAlign w:val="center"/>
          </w:tcPr>
          <w:p>
            <w:pPr>
              <w:jc w:val="left"/>
            </w:pPr>
            <w:r>
              <w:rPr>
                <w:b w:val="false"/>
                <w:bCs w:val="false"/>
                <w:color w:val="202020"/>
                <w:sz w:val="20"/>
                <w:szCs w:val="20"/>
              </w:rPr>
              <w:t xml:space="preserve">Week 6</w:t>
            </w:r>
          </w:p>
        </w:tc>
        <w:tc>
          <w:tcPr>
            <w:tcW w:type="dxa" w:w="4400"/>
            <w:shd w:fill="FFFFFF" w:val="clear"/>
            <w:tcMar>
              <w:top w:type="dxa" w:w="100"/>
              <w:left w:type="dxa" w:w="120"/>
              <w:bottom w:type="dxa" w:w="100"/>
              <w:right w:type="dxa" w:w="120"/>
            </w:tcMar>
            <w:vAlign w:val="center"/>
          </w:tcPr>
          <w:p>
            <w:pPr>
              <w:jc w:val="left"/>
            </w:pPr>
            <w:r>
              <w:rPr>
                <w:b w:val="false"/>
                <w:bCs w:val="false"/>
                <w:color w:val="202020"/>
                <w:sz w:val="20"/>
                <w:szCs w:val="20"/>
              </w:rPr>
              <w:t xml:space="preserve">Run cross-source reconciliation, completeness checks, manual spot-checks</w:t>
            </w:r>
          </w:p>
        </w:tc>
      </w:tr>
      <w:tr>
        <w:tc>
          <w:tcPr>
            <w:tcW w:type="dxa" w:w="3600"/>
            <w:shd w:fill="EAF1F8" w:val="clear"/>
            <w:tcMar>
              <w:top w:type="dxa" w:w="100"/>
              <w:left w:type="dxa" w:w="120"/>
              <w:bottom w:type="dxa" w:w="100"/>
              <w:right w:type="dxa" w:w="120"/>
            </w:tcMar>
            <w:vAlign w:val="center"/>
          </w:tcPr>
          <w:p>
            <w:pPr>
              <w:jc w:val="left"/>
            </w:pPr>
            <w:r>
              <w:rPr>
                <w:b w:val="false"/>
                <w:bCs w:val="false"/>
                <w:color w:val="202020"/>
                <w:sz w:val="20"/>
                <w:szCs w:val="20"/>
              </w:rPr>
              <w:t xml:space="preserve">Phase 5 — Dashboard &amp; Reporting</w:t>
            </w:r>
          </w:p>
        </w:tc>
        <w:tc>
          <w:tcPr>
            <w:tcW w:type="dxa" w:w="2000"/>
            <w:shd w:fill="EAF1F8" w:val="clear"/>
            <w:tcMar>
              <w:top w:type="dxa" w:w="100"/>
              <w:left w:type="dxa" w:w="120"/>
              <w:bottom w:type="dxa" w:w="100"/>
              <w:right w:type="dxa" w:w="120"/>
            </w:tcMar>
            <w:vAlign w:val="center"/>
          </w:tcPr>
          <w:p>
            <w:pPr>
              <w:jc w:val="left"/>
            </w:pPr>
            <w:r>
              <w:rPr>
                <w:b w:val="false"/>
                <w:bCs w:val="false"/>
                <w:color w:val="202020"/>
                <w:sz w:val="20"/>
                <w:szCs w:val="20"/>
              </w:rPr>
              <w:t xml:space="preserve">Weeks 7–8</w:t>
            </w:r>
          </w:p>
        </w:tc>
        <w:tc>
          <w:tcPr>
            <w:tcW w:type="dxa" w:w="4400"/>
            <w:shd w:fill="EAF1F8" w:val="clear"/>
            <w:tcMar>
              <w:top w:type="dxa" w:w="100"/>
              <w:left w:type="dxa" w:w="120"/>
              <w:bottom w:type="dxa" w:w="100"/>
              <w:right w:type="dxa" w:w="120"/>
            </w:tcMar>
            <w:vAlign w:val="center"/>
          </w:tcPr>
          <w:p>
            <w:pPr>
              <w:jc w:val="left"/>
            </w:pPr>
            <w:r>
              <w:rPr>
                <w:b w:val="false"/>
                <w:bCs w:val="false"/>
                <w:color w:val="202020"/>
                <w:sz w:val="20"/>
                <w:szCs w:val="20"/>
              </w:rPr>
              <w:t xml:space="preserve">Build indicator dashboard, document methodology, deliver first analytical output</w:t>
            </w:r>
          </w:p>
        </w:tc>
      </w:tr>
      <w:tr>
        <w:tc>
          <w:tcPr>
            <w:tcW w:type="dxa" w:w="3600"/>
            <w:shd w:fill="FFFFFF" w:val="clear"/>
            <w:tcMar>
              <w:top w:type="dxa" w:w="100"/>
              <w:left w:type="dxa" w:w="120"/>
              <w:bottom w:type="dxa" w:w="100"/>
              <w:right w:type="dxa" w:w="120"/>
            </w:tcMar>
            <w:vAlign w:val="center"/>
          </w:tcPr>
          <w:p>
            <w:pPr>
              <w:jc w:val="left"/>
            </w:pPr>
            <w:r>
              <w:rPr>
                <w:b w:val="false"/>
                <w:bCs w:val="false"/>
                <w:color w:val="202020"/>
                <w:sz w:val="20"/>
                <w:szCs w:val="20"/>
              </w:rPr>
              <w:t xml:space="preserve">Phase 6 — Ongoing Maintenance</w:t>
            </w:r>
          </w:p>
        </w:tc>
        <w:tc>
          <w:tcPr>
            <w:tcW w:type="dxa" w:w="2000"/>
            <w:shd w:fill="FFFFFF" w:val="clear"/>
            <w:tcMar>
              <w:top w:type="dxa" w:w="100"/>
              <w:left w:type="dxa" w:w="120"/>
              <w:bottom w:type="dxa" w:w="100"/>
              <w:right w:type="dxa" w:w="120"/>
            </w:tcMar>
            <w:vAlign w:val="center"/>
          </w:tcPr>
          <w:p>
            <w:pPr>
              <w:jc w:val="left"/>
            </w:pPr>
            <w:r>
              <w:rPr>
                <w:b w:val="false"/>
                <w:bCs w:val="false"/>
                <w:color w:val="202020"/>
                <w:sz w:val="20"/>
                <w:szCs w:val="20"/>
              </w:rPr>
              <w:t xml:space="preserve">Continuous</w:t>
            </w:r>
          </w:p>
        </w:tc>
        <w:tc>
          <w:tcPr>
            <w:tcW w:type="dxa" w:w="4400"/>
            <w:shd w:fill="FFFFFF" w:val="clear"/>
            <w:tcMar>
              <w:top w:type="dxa" w:w="100"/>
              <w:left w:type="dxa" w:w="120"/>
              <w:bottom w:type="dxa" w:w="100"/>
              <w:right w:type="dxa" w:w="120"/>
            </w:tcMar>
            <w:vAlign w:val="center"/>
          </w:tcPr>
          <w:p>
            <w:pPr>
              <w:jc w:val="left"/>
            </w:pPr>
            <w:r>
              <w:rPr>
                <w:b w:val="false"/>
                <w:bCs w:val="false"/>
                <w:color w:val="202020"/>
                <w:sz w:val="20"/>
                <w:szCs w:val="20"/>
              </w:rPr>
              <w:t xml:space="preserve">Quarterly/annual refresh cycles per source cadence; rolling re-validation sample</w:t>
            </w:r>
          </w:p>
        </w:tc>
      </w:tr>
    </w:tbl>
    <w:p>
      <w:pPr>
        <w:pStyle w:val="Heading1"/>
        <w:spacing w:after="160" w:before="360"/>
      </w:pPr>
      <w:r>
        <w:rPr>
          <w:b/>
          <w:bCs/>
          <w:color w:val="1B3A57"/>
          <w:sz w:val="30"/>
          <w:szCs w:val="30"/>
        </w:rPr>
        <w:t xml:space="preserve">8. Expected Challenges and Mitigation Strategies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800"/>
        <w:gridCol w:w="1400"/>
        <w:gridCol w:w="4800"/>
      </w:tblGrid>
      <w:tr>
        <w:trPr>
          <w:tblHeader/>
        </w:trPr>
        <w:tc>
          <w:tcPr>
            <w:tcW w:type="dxa" w:w="3800"/>
            <w:shd w:fill="2E5C8A" w:val="clear"/>
            <w:tcMar>
              <w:top w:type="dxa" w:w="100"/>
              <w:left w:type="dxa" w:w="120"/>
              <w:bottom w:type="dxa" w:w="100"/>
              <w:right w:type="dxa" w:w="120"/>
            </w:tcMar>
            <w:vAlign w:val="center"/>
          </w:tcPr>
          <w:p>
            <w:pPr>
              <w:jc w:val="left"/>
            </w:pPr>
            <w:r>
              <w:rPr>
                <w:b/>
                <w:bCs/>
                <w:color w:val="FFFFFF"/>
                <w:sz w:val="20"/>
                <w:szCs w:val="20"/>
              </w:rPr>
              <w:t xml:space="preserve">Challenge</w:t>
            </w:r>
          </w:p>
        </w:tc>
        <w:tc>
          <w:tcPr>
            <w:tcW w:type="dxa" w:w="1400"/>
            <w:shd w:fill="2E5C8A" w:val="clear"/>
            <w:tcMar>
              <w:top w:type="dxa" w:w="100"/>
              <w:left w:type="dxa" w:w="120"/>
              <w:bottom w:type="dxa" w:w="100"/>
              <w:right w:type="dxa" w:w="120"/>
            </w:tcMar>
            <w:vAlign w:val="center"/>
          </w:tcPr>
          <w:p>
            <w:pPr>
              <w:jc w:val="left"/>
            </w:pPr>
            <w:r>
              <w:rPr>
                <w:b/>
                <w:bCs/>
                <w:color w:val="FFFFFF"/>
                <w:sz w:val="20"/>
                <w:szCs w:val="20"/>
              </w:rPr>
              <w:t xml:space="preserve">Risk Level</w:t>
            </w:r>
          </w:p>
        </w:tc>
        <w:tc>
          <w:tcPr>
            <w:tcW w:type="dxa" w:w="4800"/>
            <w:shd w:fill="2E5C8A" w:val="clear"/>
            <w:tcMar>
              <w:top w:type="dxa" w:w="100"/>
              <w:left w:type="dxa" w:w="120"/>
              <w:bottom w:type="dxa" w:w="100"/>
              <w:right w:type="dxa" w:w="120"/>
            </w:tcMar>
            <w:vAlign w:val="center"/>
          </w:tcPr>
          <w:p>
            <w:pPr>
              <w:jc w:val="left"/>
            </w:pPr>
            <w:r>
              <w:rPr>
                <w:b/>
                <w:bCs/>
                <w:color w:val="FFFFFF"/>
                <w:sz w:val="20"/>
                <w:szCs w:val="20"/>
              </w:rPr>
              <w:t xml:space="preserve">Mitigation Strategy</w:t>
            </w:r>
          </w:p>
        </w:tc>
      </w:tr>
      <w:tr>
        <w:tc>
          <w:tcPr>
            <w:tcW w:type="dxa" w:w="3800"/>
            <w:shd w:fill="EAF1F8" w:val="clear"/>
            <w:tcMar>
              <w:top w:type="dxa" w:w="100"/>
              <w:left w:type="dxa" w:w="120"/>
              <w:bottom w:type="dxa" w:w="100"/>
              <w:right w:type="dxa" w:w="120"/>
            </w:tcMar>
            <w:vAlign w:val="center"/>
          </w:tcPr>
          <w:p>
            <w:pPr>
              <w:jc w:val="left"/>
            </w:pPr>
            <w:r>
              <w:rPr>
                <w:b w:val="false"/>
                <w:bCs w:val="false"/>
                <w:color w:val="202020"/>
                <w:sz w:val="20"/>
                <w:szCs w:val="20"/>
              </w:rPr>
              <w:t xml:space="preserve">Inconsistent definitions/units across sources (e.g., differing 'internet user' definitions)</w:t>
            </w:r>
          </w:p>
        </w:tc>
        <w:tc>
          <w:tcPr>
            <w:tcW w:type="dxa" w:w="1400"/>
            <w:shd w:fill="EAF1F8" w:val="clear"/>
            <w:tcMar>
              <w:top w:type="dxa" w:w="100"/>
              <w:left w:type="dxa" w:w="120"/>
              <w:bottom w:type="dxa" w:w="100"/>
              <w:right w:type="dxa" w:w="120"/>
            </w:tcMar>
            <w:vAlign w:val="center"/>
          </w:tcPr>
          <w:p>
            <w:pPr>
              <w:jc w:val="left"/>
            </w:pPr>
            <w:r>
              <w:rPr>
                <w:b w:val="false"/>
                <w:bCs w:val="false"/>
                <w:color w:val="202020"/>
                <w:sz w:val="20"/>
                <w:szCs w:val="20"/>
              </w:rPr>
              <w:t xml:space="preserve">High</w:t>
            </w:r>
          </w:p>
        </w:tc>
        <w:tc>
          <w:tcPr>
            <w:tcW w:type="dxa" w:w="4800"/>
            <w:shd w:fill="EAF1F8" w:val="clear"/>
            <w:tcMar>
              <w:top w:type="dxa" w:w="100"/>
              <w:left w:type="dxa" w:w="120"/>
              <w:bottom w:type="dxa" w:w="100"/>
              <w:right w:type="dxa" w:w="120"/>
            </w:tcMar>
            <w:vAlign w:val="center"/>
          </w:tcPr>
          <w:p>
            <w:pPr>
              <w:jc w:val="left"/>
            </w:pPr>
            <w:r>
              <w:rPr>
                <w:b w:val="false"/>
                <w:bCs w:val="false"/>
                <w:color w:val="202020"/>
                <w:sz w:val="20"/>
                <w:szCs w:val="20"/>
              </w:rPr>
              <w:t xml:space="preserve">Adopt a documented mapping schema; store both raw and normalized values</w:t>
            </w:r>
          </w:p>
        </w:tc>
      </w:tr>
      <w:tr>
        <w:tc>
          <w:tcPr>
            <w:tcW w:type="dxa" w:w="3800"/>
            <w:shd w:fill="FFFFFF" w:val="clear"/>
            <w:tcMar>
              <w:top w:type="dxa" w:w="100"/>
              <w:left w:type="dxa" w:w="120"/>
              <w:bottom w:type="dxa" w:w="100"/>
              <w:right w:type="dxa" w:w="120"/>
            </w:tcMar>
            <w:vAlign w:val="center"/>
          </w:tcPr>
          <w:p>
            <w:pPr>
              <w:jc w:val="left"/>
            </w:pPr>
            <w:r>
              <w:rPr>
                <w:b w:val="false"/>
                <w:bCs w:val="false"/>
                <w:color w:val="202020"/>
                <w:sz w:val="20"/>
                <w:szCs w:val="20"/>
              </w:rPr>
              <w:t xml:space="preserve">Source portals change structure or block automated access</w:t>
            </w:r>
          </w:p>
        </w:tc>
        <w:tc>
          <w:tcPr>
            <w:tcW w:type="dxa" w:w="1400"/>
            <w:shd w:fill="FFFFFF" w:val="clear"/>
            <w:tcMar>
              <w:top w:type="dxa" w:w="100"/>
              <w:left w:type="dxa" w:w="120"/>
              <w:bottom w:type="dxa" w:w="100"/>
              <w:right w:type="dxa" w:w="120"/>
            </w:tcMar>
            <w:vAlign w:val="center"/>
          </w:tcPr>
          <w:p>
            <w:pPr>
              <w:jc w:val="left"/>
            </w:pPr>
            <w:r>
              <w:rPr>
                <w:b w:val="false"/>
                <w:bCs w:val="false"/>
                <w:color w:val="202020"/>
                <w:sz w:val="20"/>
                <w:szCs w:val="20"/>
              </w:rPr>
              <w:t xml:space="preserve">Medium</w:t>
            </w:r>
          </w:p>
        </w:tc>
        <w:tc>
          <w:tcPr>
            <w:tcW w:type="dxa" w:w="4800"/>
            <w:shd w:fill="FFFFFF" w:val="clear"/>
            <w:tcMar>
              <w:top w:type="dxa" w:w="100"/>
              <w:left w:type="dxa" w:w="120"/>
              <w:bottom w:type="dxa" w:w="100"/>
              <w:right w:type="dxa" w:w="120"/>
            </w:tcMar>
            <w:vAlign w:val="center"/>
          </w:tcPr>
          <w:p>
            <w:pPr>
              <w:jc w:val="left"/>
            </w:pPr>
            <w:r>
              <w:rPr>
                <w:b w:val="false"/>
                <w:bCs w:val="false"/>
                <w:color w:val="202020"/>
                <w:sz w:val="20"/>
                <w:szCs w:val="20"/>
              </w:rPr>
              <w:t xml:space="preserve">Prefer official APIs/bulk files first; rate-limit and monitor scrapers; maintain fallback manual procedure</w:t>
            </w:r>
          </w:p>
        </w:tc>
      </w:tr>
      <w:tr>
        <w:tc>
          <w:tcPr>
            <w:tcW w:type="dxa" w:w="3800"/>
            <w:shd w:fill="EAF1F8" w:val="clear"/>
            <w:tcMar>
              <w:top w:type="dxa" w:w="100"/>
              <w:left w:type="dxa" w:w="120"/>
              <w:bottom w:type="dxa" w:w="100"/>
              <w:right w:type="dxa" w:w="120"/>
            </w:tcMar>
            <w:vAlign w:val="center"/>
          </w:tcPr>
          <w:p>
            <w:pPr>
              <w:jc w:val="left"/>
            </w:pPr>
            <w:r>
              <w:rPr>
                <w:b w:val="false"/>
                <w:bCs w:val="false"/>
                <w:color w:val="202020"/>
                <w:sz w:val="20"/>
                <w:szCs w:val="20"/>
              </w:rPr>
              <w:t xml:space="preserve">Infrequent update cycles (e.g., EGDI is biennial) creating stale indicators between releases</w:t>
            </w:r>
          </w:p>
        </w:tc>
        <w:tc>
          <w:tcPr>
            <w:tcW w:type="dxa" w:w="1400"/>
            <w:shd w:fill="EAF1F8" w:val="clear"/>
            <w:tcMar>
              <w:top w:type="dxa" w:w="100"/>
              <w:left w:type="dxa" w:w="120"/>
              <w:bottom w:type="dxa" w:w="100"/>
              <w:right w:type="dxa" w:w="120"/>
            </w:tcMar>
            <w:vAlign w:val="center"/>
          </w:tcPr>
          <w:p>
            <w:pPr>
              <w:jc w:val="left"/>
            </w:pPr>
            <w:r>
              <w:rPr>
                <w:b w:val="false"/>
                <w:bCs w:val="false"/>
                <w:color w:val="202020"/>
                <w:sz w:val="20"/>
                <w:szCs w:val="20"/>
              </w:rPr>
              <w:t xml:space="preserve">Medium</w:t>
            </w:r>
          </w:p>
        </w:tc>
        <w:tc>
          <w:tcPr>
            <w:tcW w:type="dxa" w:w="4800"/>
            <w:shd w:fill="EAF1F8" w:val="clear"/>
            <w:tcMar>
              <w:top w:type="dxa" w:w="100"/>
              <w:left w:type="dxa" w:w="120"/>
              <w:bottom w:type="dxa" w:w="100"/>
              <w:right w:type="dxa" w:w="120"/>
            </w:tcMar>
            <w:vAlign w:val="center"/>
          </w:tcPr>
          <w:p>
            <w:pPr>
              <w:jc w:val="left"/>
            </w:pPr>
            <w:r>
              <w:rPr>
                <w:b w:val="false"/>
                <w:bCs w:val="false"/>
                <w:color w:val="202020"/>
                <w:sz w:val="20"/>
                <w:szCs w:val="20"/>
              </w:rPr>
              <w:t xml:space="preserve">Blend index data with more frequent proxy indicators (e.g., annual ITU connectivity data) and clearly label data vintage</w:t>
            </w:r>
          </w:p>
        </w:tc>
      </w:tr>
      <w:tr>
        <w:tc>
          <w:tcPr>
            <w:tcW w:type="dxa" w:w="3800"/>
            <w:shd w:fill="FFFFFF" w:val="clear"/>
            <w:tcMar>
              <w:top w:type="dxa" w:w="100"/>
              <w:left w:type="dxa" w:w="120"/>
              <w:bottom w:type="dxa" w:w="100"/>
              <w:right w:type="dxa" w:w="120"/>
            </w:tcMar>
            <w:vAlign w:val="center"/>
          </w:tcPr>
          <w:p>
            <w:pPr>
              <w:jc w:val="left"/>
            </w:pPr>
            <w:r>
              <w:rPr>
                <w:b w:val="false"/>
                <w:bCs w:val="false"/>
                <w:color w:val="202020"/>
                <w:sz w:val="20"/>
                <w:szCs w:val="20"/>
              </w:rPr>
              <w:t xml:space="preserve">Missing or incomplete data for smaller/lower-income countries</w:t>
            </w:r>
          </w:p>
        </w:tc>
        <w:tc>
          <w:tcPr>
            <w:tcW w:type="dxa" w:w="1400"/>
            <w:shd w:fill="FFFFFF" w:val="clear"/>
            <w:tcMar>
              <w:top w:type="dxa" w:w="100"/>
              <w:left w:type="dxa" w:w="120"/>
              <w:bottom w:type="dxa" w:w="100"/>
              <w:right w:type="dxa" w:w="120"/>
            </w:tcMar>
            <w:vAlign w:val="center"/>
          </w:tcPr>
          <w:p>
            <w:pPr>
              <w:jc w:val="left"/>
            </w:pPr>
            <w:r>
              <w:rPr>
                <w:b w:val="false"/>
                <w:bCs w:val="false"/>
                <w:color w:val="202020"/>
                <w:sz w:val="20"/>
                <w:szCs w:val="20"/>
              </w:rPr>
              <w:t xml:space="preserve">Medium</w:t>
            </w:r>
          </w:p>
        </w:tc>
        <w:tc>
          <w:tcPr>
            <w:tcW w:type="dxa" w:w="4800"/>
            <w:shd w:fill="FFFFFF" w:val="clear"/>
            <w:tcMar>
              <w:top w:type="dxa" w:w="100"/>
              <w:left w:type="dxa" w:w="120"/>
              <w:bottom w:type="dxa" w:w="100"/>
              <w:right w:type="dxa" w:w="120"/>
            </w:tcMar>
            <w:vAlign w:val="center"/>
          </w:tcPr>
          <w:p>
            <w:pPr>
              <w:jc w:val="left"/>
            </w:pPr>
            <w:r>
              <w:rPr>
                <w:b w:val="false"/>
                <w:bCs w:val="false"/>
                <w:color w:val="202020"/>
                <w:sz w:val="20"/>
                <w:szCs w:val="20"/>
              </w:rPr>
              <w:t xml:space="preserve">Flag gaps explicitly rather than imputing; report coverage rate alongside findings</w:t>
            </w:r>
          </w:p>
        </w:tc>
      </w:tr>
      <w:tr>
        <w:tc>
          <w:tcPr>
            <w:tcW w:type="dxa" w:w="3800"/>
            <w:shd w:fill="EAF1F8" w:val="clear"/>
            <w:tcMar>
              <w:top w:type="dxa" w:w="100"/>
              <w:left w:type="dxa" w:w="120"/>
              <w:bottom w:type="dxa" w:w="100"/>
              <w:right w:type="dxa" w:w="120"/>
            </w:tcMar>
            <w:vAlign w:val="center"/>
          </w:tcPr>
          <w:p>
            <w:pPr>
              <w:jc w:val="left"/>
            </w:pPr>
            <w:r>
              <w:rPr>
                <w:b w:val="false"/>
                <w:bCs w:val="false"/>
                <w:color w:val="202020"/>
                <w:sz w:val="20"/>
                <w:szCs w:val="20"/>
              </w:rPr>
              <w:t xml:space="preserve">Legal/terms-of-service constraints on redistribution</w:t>
            </w:r>
          </w:p>
        </w:tc>
        <w:tc>
          <w:tcPr>
            <w:tcW w:type="dxa" w:w="1400"/>
            <w:shd w:fill="EAF1F8" w:val="clear"/>
            <w:tcMar>
              <w:top w:type="dxa" w:w="100"/>
              <w:left w:type="dxa" w:w="120"/>
              <w:bottom w:type="dxa" w:w="100"/>
              <w:right w:type="dxa" w:w="120"/>
            </w:tcMar>
            <w:vAlign w:val="center"/>
          </w:tcPr>
          <w:p>
            <w:pPr>
              <w:jc w:val="left"/>
            </w:pPr>
            <w:r>
              <w:rPr>
                <w:b w:val="false"/>
                <w:bCs w:val="false"/>
                <w:color w:val="202020"/>
                <w:sz w:val="20"/>
                <w:szCs w:val="20"/>
              </w:rPr>
              <w:t xml:space="preserve">Medium</w:t>
            </w:r>
          </w:p>
        </w:tc>
        <w:tc>
          <w:tcPr>
            <w:tcW w:type="dxa" w:w="4800"/>
            <w:shd w:fill="EAF1F8" w:val="clear"/>
            <w:tcMar>
              <w:top w:type="dxa" w:w="100"/>
              <w:left w:type="dxa" w:w="120"/>
              <w:bottom w:type="dxa" w:w="100"/>
              <w:right w:type="dxa" w:w="120"/>
            </w:tcMar>
            <w:vAlign w:val="center"/>
          </w:tcPr>
          <w:p>
            <w:pPr>
              <w:jc w:val="left"/>
            </w:pPr>
            <w:r>
              <w:rPr>
                <w:b w:val="false"/>
                <w:bCs w:val="false"/>
                <w:color w:val="202020"/>
                <w:sz w:val="20"/>
                <w:szCs w:val="20"/>
              </w:rPr>
              <w:t xml:space="preserve">Legal review of each source's terms before ingestion; store links/citations rather than redistributing restricted content where required</w:t>
            </w:r>
          </w:p>
        </w:tc>
      </w:tr>
      <w:tr>
        <w:tc>
          <w:tcPr>
            <w:tcW w:type="dxa" w:w="3800"/>
            <w:shd w:fill="FFFFFF" w:val="clear"/>
            <w:tcMar>
              <w:top w:type="dxa" w:w="100"/>
              <w:left w:type="dxa" w:w="120"/>
              <w:bottom w:type="dxa" w:w="100"/>
              <w:right w:type="dxa" w:w="120"/>
            </w:tcMar>
            <w:vAlign w:val="center"/>
          </w:tcPr>
          <w:p>
            <w:pPr>
              <w:jc w:val="left"/>
            </w:pPr>
            <w:r>
              <w:rPr>
                <w:b w:val="false"/>
                <w:bCs w:val="false"/>
                <w:color w:val="202020"/>
                <w:sz w:val="20"/>
                <w:szCs w:val="20"/>
              </w:rPr>
              <w:t xml:space="preserve">Human error in manual collection steps</w:t>
            </w:r>
          </w:p>
        </w:tc>
        <w:tc>
          <w:tcPr>
            <w:tcW w:type="dxa" w:w="1400"/>
            <w:shd w:fill="FFFFFF" w:val="clear"/>
            <w:tcMar>
              <w:top w:type="dxa" w:w="100"/>
              <w:left w:type="dxa" w:w="120"/>
              <w:bottom w:type="dxa" w:w="100"/>
              <w:right w:type="dxa" w:w="120"/>
            </w:tcMar>
            <w:vAlign w:val="center"/>
          </w:tcPr>
          <w:p>
            <w:pPr>
              <w:jc w:val="left"/>
            </w:pPr>
            <w:r>
              <w:rPr>
                <w:b w:val="false"/>
                <w:bCs w:val="false"/>
                <w:color w:val="202020"/>
                <w:sz w:val="20"/>
                <w:szCs w:val="20"/>
              </w:rPr>
              <w:t xml:space="preserve">Low–Medium</w:t>
            </w:r>
          </w:p>
        </w:tc>
        <w:tc>
          <w:tcPr>
            <w:tcW w:type="dxa" w:w="4800"/>
            <w:shd w:fill="FFFFFF" w:val="clear"/>
            <w:tcMar>
              <w:top w:type="dxa" w:w="100"/>
              <w:left w:type="dxa" w:w="120"/>
              <w:bottom w:type="dxa" w:w="100"/>
              <w:right w:type="dxa" w:w="120"/>
            </w:tcMar>
            <w:vAlign w:val="center"/>
          </w:tcPr>
          <w:p>
            <w:pPr>
              <w:jc w:val="left"/>
            </w:pPr>
            <w:r>
              <w:rPr>
                <w:b w:val="false"/>
                <w:bCs w:val="false"/>
                <w:color w:val="202020"/>
                <w:sz w:val="20"/>
                <w:szCs w:val="20"/>
              </w:rPr>
              <w:t xml:space="preserve">Mandatory second-reviewer double-entry and periodic re-validation sampling</w:t>
            </w:r>
          </w:p>
        </w:tc>
      </w:tr>
      <w:tr>
        <w:tc>
          <w:tcPr>
            <w:tcW w:type="dxa" w:w="3800"/>
            <w:shd w:fill="EAF1F8" w:val="clear"/>
            <w:tcMar>
              <w:top w:type="dxa" w:w="100"/>
              <w:left w:type="dxa" w:w="120"/>
              <w:bottom w:type="dxa" w:w="100"/>
              <w:right w:type="dxa" w:w="120"/>
            </w:tcMar>
            <w:vAlign w:val="center"/>
          </w:tcPr>
          <w:p>
            <w:pPr>
              <w:jc w:val="left"/>
            </w:pPr>
            <w:r>
              <w:rPr>
                <w:b w:val="false"/>
                <w:bCs w:val="false"/>
                <w:color w:val="202020"/>
                <w:sz w:val="20"/>
                <w:szCs w:val="20"/>
              </w:rPr>
              <w:t xml:space="preserve">Team capacity constraints in later automation phases</w:t>
            </w:r>
          </w:p>
        </w:tc>
        <w:tc>
          <w:tcPr>
            <w:tcW w:type="dxa" w:w="1400"/>
            <w:shd w:fill="EAF1F8" w:val="clear"/>
            <w:tcMar>
              <w:top w:type="dxa" w:w="100"/>
              <w:left w:type="dxa" w:w="120"/>
              <w:bottom w:type="dxa" w:w="100"/>
              <w:right w:type="dxa" w:w="120"/>
            </w:tcMar>
            <w:vAlign w:val="center"/>
          </w:tcPr>
          <w:p>
            <w:pPr>
              <w:jc w:val="left"/>
            </w:pPr>
            <w:r>
              <w:rPr>
                <w:b w:val="false"/>
                <w:bCs w:val="false"/>
                <w:color w:val="202020"/>
                <w:sz w:val="20"/>
                <w:szCs w:val="20"/>
              </w:rPr>
              <w:t xml:space="preserve">Low</w:t>
            </w:r>
          </w:p>
        </w:tc>
        <w:tc>
          <w:tcPr>
            <w:tcW w:type="dxa" w:w="4800"/>
            <w:shd w:fill="EAF1F8" w:val="clear"/>
            <w:tcMar>
              <w:top w:type="dxa" w:w="100"/>
              <w:left w:type="dxa" w:w="120"/>
              <w:bottom w:type="dxa" w:w="100"/>
              <w:right w:type="dxa" w:w="120"/>
            </w:tcMar>
            <w:vAlign w:val="center"/>
          </w:tcPr>
          <w:p>
            <w:pPr>
              <w:jc w:val="left"/>
            </w:pPr>
            <w:r>
              <w:rPr>
                <w:b w:val="false"/>
                <w:bCs w:val="false"/>
                <w:color w:val="202020"/>
                <w:sz w:val="20"/>
                <w:szCs w:val="20"/>
              </w:rPr>
              <w:t xml:space="preserve">Prioritize high-value indicators first; phase automation incrementally per the timeline</w:t>
            </w:r>
          </w:p>
        </w:tc>
      </w:tr>
    </w:tbl>
    <w:p>
      <w:pPr>
        <w:pStyle w:val="Heading1"/>
        <w:spacing w:after="160" w:before="360"/>
      </w:pPr>
      <w:r>
        <w:rPr>
          <w:b/>
          <w:bCs/>
          <w:color w:val="1B3A57"/>
          <w:sz w:val="30"/>
          <w:szCs w:val="30"/>
        </w:rPr>
        <w:t xml:space="preserve">9. Conclusion</w:t>
      </w:r>
    </w:p>
    <w:p>
      <w:pPr>
        <w:spacing w:after="160" w:line="300"/>
      </w:pPr>
      <w:r>
        <w:rPr>
          <w:color w:val="202020"/>
          <w:sz w:val="22"/>
          <w:szCs w:val="22"/>
        </w:rPr>
        <w:t xml:space="preserve">This plan establishes a clear, phased, and auditable approach to collecting e-governance data from legitimate public sources. By anchoring the indicator set to established international frameworks (EGDI, EPI, LOSI, WGI, and open-data maturity indices) and pairing collection methods with an explicit quality and validation framework, the resulting dataset will be defensible, comparable across countries, and ready to support analysis and reporting in subsequent project phases.</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E-Governance Data Collection — Strategic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6dfb4f91eb15b62c334d6c1973c02bc413e8bc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2026-08-30T15:23:36.176Z</dcterms:created>
  <dcterms:modified xsi:type="dcterms:W3CDTF">2026-08-30T15:23:36.188Z</dcterms:modified>
</cp:coreProperties>
</file>

<file path=docProps/custom.xml><?xml version="1.0" encoding="utf-8"?>
<Properties xmlns="http://schemas.openxmlformats.org/officeDocument/2006/custom-properties" xmlns:vt="http://schemas.openxmlformats.org/officeDocument/2006/docPropsVTypes"/>
</file>