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7" w:name="content"/>
    <w:bookmarkStart w:id="56" w:name="furaha-loan-deep-research-report"/>
    <w:p>
      <w:pPr>
        <w:pStyle w:val="Heading1"/>
      </w:pPr>
      <w:r>
        <w:t xml:space="preserve">Furaha Loan Deep Research Report</w:t>
      </w:r>
    </w:p>
    <w:bookmarkStart w:id="30" w:name="executive-summary"/>
    <w:p>
      <w:pPr>
        <w:pStyle w:val="Heading2"/>
      </w:pPr>
      <w:r>
        <w:t xml:space="preserve">Executive summary</w:t>
      </w:r>
    </w:p>
    <w:p>
      <w:pPr>
        <w:pStyle w:val="FirstParagraph"/>
      </w:pPr>
      <w:r>
        <w:t xml:space="preserve">Publicly accessible English-language sources show that “Furaha loan” is</w:t>
      </w:r>
      <w:r>
        <w:t xml:space="preserve"> </w:t>
      </w:r>
      <w:r>
        <w:rPr>
          <w:b/>
          <w:bCs/>
        </w:rPr>
        <w:t xml:space="preserve">not a single, globally consistent product</w:t>
      </w:r>
      <w:r>
        <w:t xml:space="preserve">. The highest-confidence, best-documented usage is a</w:t>
      </w:r>
      <w:r>
        <w:t xml:space="preserve"> </w:t>
      </w:r>
      <w:r>
        <w:rPr>
          <w:b/>
          <w:bCs/>
        </w:rPr>
        <w:t xml:space="preserve">school-fees financing product in</w:t>
      </w:r>
      <w:r>
        <w:t xml:space="preserve"> </w:t>
      </w:r>
      <w:r>
        <w:t xml:space="preserve">Uganda</w:t>
      </w:r>
      <w:hyperlink r:id="rId21">
        <w:r>
          <w:rPr>
            <w:rStyle w:val="Hyperlink"/>
          </w:rPr>
          <w:t xml:space="preserve">[1]</w:t>
        </w:r>
      </w:hyperlink>
      <w:r>
        <w:t xml:space="preserve"> </w:t>
      </w:r>
      <w:r>
        <w:t xml:space="preserve">offered through the mobile app and website of Furaha Financial</w:t>
      </w:r>
      <w:hyperlink r:id="rId22">
        <w:r>
          <w:rPr>
            <w:rStyle w:val="Hyperlink"/>
          </w:rPr>
          <w:t xml:space="preserve">[2]</w:t>
        </w:r>
      </w:hyperlink>
      <w:r>
        <w:t xml:space="preserve">, where the company positions itself as a</w:t>
      </w:r>
      <w:r>
        <w:t xml:space="preserve"> </w:t>
      </w:r>
      <w:r>
        <w:rPr>
          <w:b/>
          <w:bCs/>
        </w:rPr>
        <w:t xml:space="preserve">software-based intermediary</w:t>
      </w:r>
      <w:r>
        <w:t xml:space="preserve"> </w:t>
      </w:r>
      <w:r>
        <w:t xml:space="preserve">matching parents to</w:t>
      </w:r>
      <w:r>
        <w:t xml:space="preserve"> </w:t>
      </w:r>
      <w:r>
        <w:rPr>
          <w:b/>
          <w:bCs/>
        </w:rPr>
        <w:t xml:space="preserve">licensed commercial banks</w:t>
      </w:r>
      <w:r>
        <w:t xml:space="preserve"> </w:t>
      </w:r>
      <w:r>
        <w:t xml:space="preserve">for a</w:t>
      </w:r>
      <w:r>
        <w:t xml:space="preserve"> </w:t>
      </w:r>
      <w:r>
        <w:rPr>
          <w:b/>
          <w:bCs/>
        </w:rPr>
        <w:t xml:space="preserve">3‑month</w:t>
      </w:r>
      <w:r>
        <w:t xml:space="preserve"> </w:t>
      </w:r>
      <w:r>
        <w:t xml:space="preserve">school-fees loan that is</w:t>
      </w:r>
      <w:r>
        <w:t xml:space="preserve"> </w:t>
      </w:r>
      <w:r>
        <w:rPr>
          <w:b/>
          <w:bCs/>
        </w:rPr>
        <w:t xml:space="preserve">disbursed directly to schools</w:t>
      </w:r>
      <w:r>
        <w:t xml:space="preserve">.</w:t>
      </w:r>
      <w:r>
        <w:t xml:space="preserve"> </w:t>
      </w:r>
      <w:hyperlink r:id="rId23">
        <w:r>
          <w:rPr>
            <w:rStyle w:val="Hyperlink"/>
          </w:rPr>
          <w:t xml:space="preserve">[3]</w:t>
        </w:r>
      </w:hyperlink>
    </w:p>
    <w:p>
      <w:pPr>
        <w:pStyle w:val="BodyText"/>
      </w:pPr>
      <w:r>
        <w:t xml:space="preserve">In the Furaha Uganda product, publicly stated core pricing spans:</w:t>
      </w:r>
      <w:r>
        <w:t xml:space="preserve"> </w:t>
      </w:r>
      <w:r>
        <w:rPr>
          <w:b/>
          <w:bCs/>
        </w:rPr>
        <w:t xml:space="preserve">UGX 200,000–UGX 2,000,000</w:t>
      </w:r>
      <w:r>
        <w:t xml:space="preserve">,</w:t>
      </w:r>
      <w:r>
        <w:t xml:space="preserve"> </w:t>
      </w:r>
      <w:r>
        <w:rPr>
          <w:b/>
          <w:bCs/>
        </w:rPr>
        <w:t xml:space="preserve">tenor 90 days</w:t>
      </w:r>
      <w:r>
        <w:t xml:space="preserve">,</w:t>
      </w:r>
      <w:r>
        <w:t xml:space="preserve"> </w:t>
      </w:r>
      <w:r>
        <w:rPr>
          <w:b/>
          <w:bCs/>
        </w:rPr>
        <w:t xml:space="preserve">interest 5% per month</w:t>
      </w:r>
      <w:r>
        <w:t xml:space="preserve">,</w:t>
      </w:r>
      <w:r>
        <w:t xml:space="preserve"> </w:t>
      </w:r>
      <w:r>
        <w:rPr>
          <w:b/>
          <w:bCs/>
        </w:rPr>
        <w:t xml:space="preserve">processing/access fee 3% on disbursed amount</w:t>
      </w:r>
      <w:r>
        <w:t xml:space="preserve">, and a stated</w:t>
      </w:r>
      <w:r>
        <w:t xml:space="preserve"> </w:t>
      </w:r>
      <w:r>
        <w:rPr>
          <w:b/>
          <w:bCs/>
        </w:rPr>
        <w:t xml:space="preserve">maximum APR of 74%</w:t>
      </w:r>
      <w:r>
        <w:t xml:space="preserve"> </w:t>
      </w:r>
      <w:r>
        <w:t xml:space="preserve">(app-store disclosures).</w:t>
      </w:r>
      <w:r>
        <w:t xml:space="preserve"> </w:t>
      </w:r>
      <w:hyperlink r:id="rId23">
        <w:r>
          <w:rPr>
            <w:rStyle w:val="Hyperlink"/>
          </w:rPr>
          <w:t xml:space="preserve">[4]</w:t>
        </w:r>
      </w:hyperlink>
      <w:r>
        <w:t xml:space="preserve"> </w:t>
      </w:r>
      <w:r>
        <w:t xml:space="preserve">Official FAQs further state</w:t>
      </w:r>
      <w:r>
        <w:t xml:space="preserve"> </w:t>
      </w:r>
      <w:r>
        <w:rPr>
          <w:b/>
          <w:bCs/>
        </w:rPr>
        <w:t xml:space="preserve">real-time approval</w:t>
      </w:r>
      <w:r>
        <w:t xml:space="preserve">,</w:t>
      </w:r>
      <w:r>
        <w:t xml:space="preserve"> </w:t>
      </w:r>
      <w:r>
        <w:rPr>
          <w:b/>
          <w:bCs/>
        </w:rPr>
        <w:t xml:space="preserve">repayment via the borrower’s mobile wallet</w:t>
      </w:r>
      <w:r>
        <w:t xml:space="preserve">,</w:t>
      </w:r>
      <w:r>
        <w:t xml:space="preserve"> </w:t>
      </w:r>
      <w:r>
        <w:rPr>
          <w:b/>
          <w:bCs/>
        </w:rPr>
        <w:t xml:space="preserve">auto-debit if overdue</w:t>
      </w:r>
      <w:r>
        <w:t xml:space="preserve">, and</w:t>
      </w:r>
      <w:r>
        <w:t xml:space="preserve"> </w:t>
      </w:r>
      <w:r>
        <w:rPr>
          <w:b/>
          <w:bCs/>
        </w:rPr>
        <w:t xml:space="preserve">a 2.5% late penalty on overdue amounts</w:t>
      </w:r>
      <w:r>
        <w:t xml:space="preserve">, while also clarifying that</w:t>
      </w:r>
      <w:r>
        <w:t xml:space="preserve"> </w:t>
      </w:r>
      <w:r>
        <w:rPr>
          <w:b/>
          <w:bCs/>
        </w:rPr>
        <w:t xml:space="preserve">early repayment has no penalty</w:t>
      </w:r>
      <w:r>
        <w:t xml:space="preserve">.</w:t>
      </w:r>
      <w:r>
        <w:t xml:space="preserve"> </w:t>
      </w:r>
      <w:hyperlink r:id="rId24">
        <w:r>
          <w:rPr>
            <w:rStyle w:val="Hyperlink"/>
          </w:rPr>
          <w:t xml:space="preserve">[5]</w:t>
        </w:r>
      </w:hyperlink>
    </w:p>
    <w:p>
      <w:pPr>
        <w:pStyle w:val="BodyText"/>
      </w:pPr>
      <w:r>
        <w:t xml:space="preserve">Separately, Google Play hosts an unrelated-looking app titled</w:t>
      </w:r>
      <w:r>
        <w:t xml:space="preserve"> </w:t>
      </w:r>
      <w:r>
        <w:rPr>
          <w:b/>
          <w:bCs/>
        </w:rPr>
        <w:t xml:space="preserve">“Furahaloan Tanzania OnlineLoan”</w:t>
      </w:r>
      <w:r>
        <w:t xml:space="preserve"> </w:t>
      </w:r>
      <w:r>
        <w:t xml:space="preserve">aimed at Tanzania</w:t>
      </w:r>
      <w:hyperlink r:id="rId25">
        <w:r>
          <w:rPr>
            <w:rStyle w:val="Hyperlink"/>
          </w:rPr>
          <w:t xml:space="preserve">[6]</w:t>
        </w:r>
      </w:hyperlink>
      <w:r>
        <w:t xml:space="preserve"> </w:t>
      </w:r>
      <w:r>
        <w:t xml:space="preserve">users, advertising</w:t>
      </w:r>
      <w:r>
        <w:t xml:space="preserve"> </w:t>
      </w:r>
      <w:r>
        <w:rPr>
          <w:b/>
          <w:bCs/>
        </w:rPr>
        <w:t xml:space="preserve">TZS 10,000–TZS 800,000</w:t>
      </w:r>
      <w:r>
        <w:t xml:space="preserve">,</w:t>
      </w:r>
      <w:r>
        <w:t xml:space="preserve"> </w:t>
      </w:r>
      <w:r>
        <w:rPr>
          <w:b/>
          <w:bCs/>
        </w:rPr>
        <w:t xml:space="preserve">91–365 days</w:t>
      </w:r>
      <w:r>
        <w:t xml:space="preserve">, and</w:t>
      </w:r>
      <w:r>
        <w:t xml:space="preserve"> </w:t>
      </w:r>
      <w:r>
        <w:rPr>
          <w:b/>
          <w:bCs/>
        </w:rPr>
        <w:t xml:space="preserve">APR 8%–36%</w:t>
      </w:r>
      <w:r>
        <w:t xml:space="preserve">, but listing a developer identity and address outside Tanzania and providing only limited, self-declared “data safety” signals. Its</w:t>
      </w:r>
      <w:r>
        <w:t xml:space="preserve"> </w:t>
      </w:r>
      <w:r>
        <w:rPr>
          <w:b/>
          <w:bCs/>
        </w:rPr>
        <w:t xml:space="preserve">licensing and regulatory status are not stated</w:t>
      </w:r>
      <w:r>
        <w:t xml:space="preserve"> </w:t>
      </w:r>
      <w:r>
        <w:t xml:space="preserve">in the store listing.</w:t>
      </w:r>
      <w:r>
        <w:t xml:space="preserve"> </w:t>
      </w:r>
      <w:hyperlink r:id="rId26">
        <w:r>
          <w:rPr>
            <w:rStyle w:val="Hyperlink"/>
          </w:rPr>
          <w:t xml:space="preserve">[7]</w:t>
        </w:r>
      </w:hyperlink>
    </w:p>
    <w:p>
      <w:pPr>
        <w:pStyle w:val="BodyText"/>
      </w:pPr>
      <w:r>
        <w:t xml:space="preserve">A third footprint is a website marketing “Furaha Loan” for Kenya</w:t>
      </w:r>
      <w:hyperlink r:id="rId27">
        <w:r>
          <w:rPr>
            <w:rStyle w:val="Hyperlink"/>
          </w:rPr>
          <w:t xml:space="preserve">[8]</w:t>
        </w:r>
      </w:hyperlink>
      <w:r>
        <w:t xml:space="preserve"> </w:t>
      </w:r>
      <w:r>
        <w:t xml:space="preserve">with claims such as instant mobile loans and M‑Pesa integration; product terms, legal entity, and licensing are not verifiable from the retrieved content.</w:t>
      </w:r>
      <w:r>
        <w:t xml:space="preserve"> </w:t>
      </w:r>
      <w:hyperlink r:id="rId28">
        <w:r>
          <w:rPr>
            <w:rStyle w:val="Hyperlink"/>
          </w:rPr>
          <w:t xml:space="preserve">[9]</w:t>
        </w:r>
      </w:hyperlink>
    </w:p>
    <w:p>
      <w:pPr>
        <w:pStyle w:val="BodyText"/>
      </w:pPr>
      <w:r>
        <w:t xml:space="preserve">Borrower risk is</w:t>
      </w:r>
      <w:r>
        <w:t xml:space="preserve"> </w:t>
      </w:r>
      <w:r>
        <w:rPr>
          <w:b/>
          <w:bCs/>
        </w:rPr>
        <w:t xml:space="preserve">moderate-to-high</w:t>
      </w:r>
      <w:r>
        <w:t xml:space="preserve"> </w:t>
      </w:r>
      <w:r>
        <w:t xml:space="preserve">for the Uganda product primarily due to</w:t>
      </w:r>
      <w:r>
        <w:t xml:space="preserve"> </w:t>
      </w:r>
      <w:r>
        <w:rPr>
          <w:b/>
          <w:bCs/>
        </w:rPr>
        <w:t xml:space="preserve">high total cost</w:t>
      </w:r>
      <w:r>
        <w:t xml:space="preserve"> </w:t>
      </w:r>
      <w:r>
        <w:t xml:space="preserve">(stated max APR 74%),</w:t>
      </w:r>
      <w:r>
        <w:t xml:space="preserve"> </w:t>
      </w:r>
      <w:r>
        <w:rPr>
          <w:b/>
          <w:bCs/>
        </w:rPr>
        <w:t xml:space="preserve">automatic wallet debits</w:t>
      </w:r>
      <w:r>
        <w:t xml:space="preserve">, and</w:t>
      </w:r>
      <w:r>
        <w:t xml:space="preserve"> </w:t>
      </w:r>
      <w:r>
        <w:rPr>
          <w:b/>
          <w:bCs/>
        </w:rPr>
        <w:t xml:space="preserve">extensive data collection/sharing typical of digital underwriting</w:t>
      </w:r>
      <w:r>
        <w:t xml:space="preserve">—but mitigated by transparent published terms, identifiable corporate structure, and bank-partner distribution.</w:t>
      </w:r>
      <w:r>
        <w:t xml:space="preserve"> </w:t>
      </w:r>
      <w:hyperlink r:id="rId23">
        <w:r>
          <w:rPr>
            <w:rStyle w:val="Hyperlink"/>
          </w:rPr>
          <w:t xml:space="preserve">[10]</w:t>
        </w:r>
      </w:hyperlink>
      <w:r>
        <w:t xml:space="preserve"> </w:t>
      </w:r>
      <w:r>
        <w:t xml:space="preserve">Risk is</w:t>
      </w:r>
      <w:r>
        <w:t xml:space="preserve"> </w:t>
      </w:r>
      <w:r>
        <w:rPr>
          <w:b/>
          <w:bCs/>
        </w:rPr>
        <w:t xml:space="preserve">high</w:t>
      </w:r>
      <w:r>
        <w:t xml:space="preserve"> </w:t>
      </w:r>
      <w:r>
        <w:t xml:space="preserve">for similarly named Kenya/Tanzania offerings where the legal entity and licensing are unclear, particularly because both Bank of Tanzania</w:t>
      </w:r>
      <w:hyperlink r:id="rId23">
        <w:r>
          <w:rPr>
            <w:rStyle w:val="Hyperlink"/>
          </w:rPr>
          <w:t xml:space="preserve">[11]</w:t>
        </w:r>
      </w:hyperlink>
      <w:r>
        <w:t xml:space="preserve"> </w:t>
      </w:r>
      <w:r>
        <w:t xml:space="preserve">and Central Bank of Kenya</w:t>
      </w:r>
      <w:hyperlink r:id="rId21">
        <w:r>
          <w:rPr>
            <w:rStyle w:val="Hyperlink"/>
          </w:rPr>
          <w:t xml:space="preserve">[12]</w:t>
        </w:r>
      </w:hyperlink>
      <w:r>
        <w:t xml:space="preserve"> </w:t>
      </w:r>
      <w:r>
        <w:t xml:space="preserve">frameworks emphasize licensing for digital lenders/digital credit providers.</w:t>
      </w:r>
      <w:r>
        <w:t xml:space="preserve"> </w:t>
      </w:r>
      <w:hyperlink r:id="rId29">
        <w:r>
          <w:rPr>
            <w:rStyle w:val="Hyperlink"/>
          </w:rPr>
          <w:t xml:space="preserve">[13]</w:t>
        </w:r>
      </w:hyperlink>
    </w:p>
    <w:bookmarkEnd w:id="30"/>
    <w:bookmarkStart w:id="31" w:name="scope-and-identification"/>
    <w:p>
      <w:pPr>
        <w:pStyle w:val="Heading2"/>
      </w:pPr>
      <w:r>
        <w:t xml:space="preserve">Scope and identification</w:t>
      </w:r>
    </w:p>
    <w:p>
      <w:pPr>
        <w:pStyle w:val="FirstParagraph"/>
      </w:pPr>
      <w:r>
        <w:t xml:space="preserve">Because “Furaha loan” is used by multiple unrelated publishers and may be reused by third parties, this report treats the term as a</w:t>
      </w:r>
      <w:r>
        <w:t xml:space="preserve"> </w:t>
      </w:r>
      <w:r>
        <w:rPr>
          <w:b/>
          <w:bCs/>
        </w:rPr>
        <w:t xml:space="preserve">cluster</w:t>
      </w:r>
      <w:r>
        <w:t xml:space="preserve"> </w:t>
      </w:r>
      <w:r>
        <w:t xml:space="preserve">and distinguishes offerings by</w:t>
      </w:r>
      <w:r>
        <w:t xml:space="preserve"> </w:t>
      </w:r>
      <w:r>
        <w:rPr>
          <w:b/>
          <w:bCs/>
        </w:rPr>
        <w:t xml:space="preserve">official app-store identifiers and primary domains</w:t>
      </w:r>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Surface name encountered</w:t>
            </w:r>
          </w:p>
        </w:tc>
        <w:tc>
          <w:tcPr/>
          <w:p>
            <w:pPr>
              <w:pStyle w:val="Compact"/>
            </w:pPr>
            <w:r>
              <w:t xml:space="preserve">Primary channel evidence</w:t>
            </w:r>
          </w:p>
        </w:tc>
        <w:tc>
          <w:tcPr/>
          <w:p>
            <w:pPr>
              <w:pStyle w:val="Compact"/>
            </w:pPr>
            <w:r>
              <w:t xml:space="preserve">Likely jurisdictional focus</w:t>
            </w:r>
          </w:p>
        </w:tc>
        <w:tc>
          <w:tcPr/>
          <w:p>
            <w:pPr>
              <w:pStyle w:val="Compact"/>
            </w:pPr>
            <w:r>
              <w:t xml:space="preserve">Relationship to Furaha Uganda platform</w:t>
            </w:r>
          </w:p>
        </w:tc>
      </w:tr>
      <w:tr>
        <w:tc>
          <w:tcPr/>
          <w:p>
            <w:pPr>
              <w:pStyle w:val="Compact"/>
            </w:pPr>
            <w:r>
              <w:t xml:space="preserve">Furaha (school fees loan)</w:t>
            </w:r>
          </w:p>
        </w:tc>
        <w:tc>
          <w:tcPr/>
          <w:p>
            <w:pPr>
              <w:pStyle w:val="Compact"/>
            </w:pPr>
            <w:r>
              <w:t xml:space="preserve">Google Play app “Furaha” (developer shown as Furaha Holding Ltd); Apple App Store “Furaha”; company site furahafinancial.com</w:t>
            </w:r>
          </w:p>
        </w:tc>
        <w:tc>
          <w:tcPr/>
          <w:p>
            <w:pPr>
              <w:pStyle w:val="Compact"/>
            </w:pPr>
            <w:r>
              <w:t xml:space="preserve">Uganda (geo-restricted; Ugandan KYC and mobile-wallet repayment)</w:t>
            </w:r>
            <w:r>
              <w:t xml:space="preserve"> </w:t>
            </w:r>
            <w:hyperlink r:id="rId24">
              <w:r>
                <w:rPr>
                  <w:rStyle w:val="Hyperlink"/>
                </w:rPr>
                <w:t xml:space="preserve">[14]</w:t>
              </w:r>
            </w:hyperlink>
          </w:p>
        </w:tc>
        <w:tc>
          <w:tcPr/>
          <w:p>
            <w:pPr>
              <w:pStyle w:val="Compact"/>
            </w:pPr>
            <w:r>
              <w:t xml:space="preserve">High-confidence “core” product described in this report</w:t>
            </w:r>
          </w:p>
        </w:tc>
      </w:tr>
      <w:tr>
        <w:tc>
          <w:tcPr/>
          <w:p>
            <w:pPr>
              <w:pStyle w:val="Compact"/>
            </w:pPr>
            <w:r>
              <w:t xml:space="preserve">Furahaloan Tanzania OnlineLoan</w:t>
            </w:r>
          </w:p>
        </w:tc>
        <w:tc>
          <w:tcPr/>
          <w:p>
            <w:pPr>
              <w:pStyle w:val="Compact"/>
            </w:pPr>
            <w:r>
              <w:t xml:space="preserve">Google Play listing for “Furahaloan Tanzania OnlineLoan”</w:t>
            </w:r>
          </w:p>
        </w:tc>
        <w:tc>
          <w:tcPr/>
          <w:p>
            <w:pPr>
              <w:pStyle w:val="Compact"/>
            </w:pPr>
            <w:r>
              <w:t xml:space="preserve">Tanzania (per eligibility and currency)</w:t>
            </w:r>
            <w:r>
              <w:t xml:space="preserve"> </w:t>
            </w:r>
            <w:hyperlink r:id="rId26">
              <w:r>
                <w:rPr>
                  <w:rStyle w:val="Hyperlink"/>
                </w:rPr>
                <w:t xml:space="preserve">[7]</w:t>
              </w:r>
            </w:hyperlink>
          </w:p>
        </w:tc>
        <w:tc>
          <w:tcPr/>
          <w:p>
            <w:pPr>
              <w:pStyle w:val="Compact"/>
            </w:pPr>
            <w:r>
              <w:rPr>
                <w:b/>
                <w:bCs/>
              </w:rPr>
              <w:t xml:space="preserve">Unspecified</w:t>
            </w:r>
            <w:r>
              <w:t xml:space="preserve"> </w:t>
            </w:r>
            <w:r>
              <w:t xml:space="preserve">(no corroborating linkage found in official Furaha Uganda sources)</w:t>
            </w:r>
          </w:p>
        </w:tc>
      </w:tr>
      <w:tr>
        <w:tc>
          <w:tcPr/>
          <w:p>
            <w:pPr>
              <w:pStyle w:val="Compact"/>
            </w:pPr>
            <w:r>
              <w:t xml:space="preserve">“Furaha Loan” Kenya website</w:t>
            </w:r>
          </w:p>
        </w:tc>
        <w:tc>
          <w:tcPr/>
          <w:p>
            <w:pPr>
              <w:pStyle w:val="Compact"/>
            </w:pPr>
            <w:r>
              <w:t xml:space="preserve">Web page marketing quick mobile loans in Kenya</w:t>
            </w:r>
          </w:p>
        </w:tc>
        <w:tc>
          <w:tcPr/>
          <w:p>
            <w:pPr>
              <w:pStyle w:val="Compact"/>
            </w:pPr>
            <w:r>
              <w:t xml:space="preserve">Kenya (claims and targeting)</w:t>
            </w:r>
            <w:r>
              <w:t xml:space="preserve"> </w:t>
            </w:r>
            <w:hyperlink r:id="rId28">
              <w:r>
                <w:rPr>
                  <w:rStyle w:val="Hyperlink"/>
                </w:rPr>
                <w:t xml:space="preserve">[9]</w:t>
              </w:r>
            </w:hyperlink>
          </w:p>
        </w:tc>
        <w:tc>
          <w:tcPr/>
          <w:p>
            <w:pPr>
              <w:pStyle w:val="Compact"/>
            </w:pPr>
            <w:r>
              <w:rPr>
                <w:b/>
                <w:bCs/>
              </w:rPr>
              <w:t xml:space="preserve">Unspecified / unverified</w:t>
            </w:r>
            <w:r>
              <w:t xml:space="preserve">; appears separate from Furaha Uganda channels</w:t>
            </w:r>
          </w:p>
        </w:tc>
      </w:tr>
    </w:tbl>
    <w:p>
      <w:pPr>
        <w:pStyle w:val="BodyText"/>
      </w:pPr>
      <w:r>
        <w:t xml:space="preserve">This report therefore focuses primarily on the</w:t>
      </w:r>
      <w:r>
        <w:t xml:space="preserve"> </w:t>
      </w:r>
      <w:r>
        <w:rPr>
          <w:b/>
          <w:bCs/>
        </w:rPr>
        <w:t xml:space="preserve">Uganda school-fees loan ecosystem</w:t>
      </w:r>
      <w:r>
        <w:t xml:space="preserve"> </w:t>
      </w:r>
      <w:r>
        <w:t xml:space="preserve">(best sourced), while documenting the Tanzania/Kenya footprints mainly as</w:t>
      </w:r>
      <w:r>
        <w:t xml:space="preserve"> </w:t>
      </w:r>
      <w:r>
        <w:rPr>
          <w:b/>
          <w:bCs/>
        </w:rPr>
        <w:t xml:space="preserve">comparative risk signals</w:t>
      </w:r>
      <w:r>
        <w:t xml:space="preserve"> </w:t>
      </w:r>
      <w:r>
        <w:t xml:space="preserve">where core data is missing.</w:t>
      </w:r>
    </w:p>
    <w:bookmarkEnd w:id="31"/>
    <w:bookmarkStart w:id="40" w:name="official-company-background"/>
    <w:p>
      <w:pPr>
        <w:pStyle w:val="Heading2"/>
      </w:pPr>
      <w:r>
        <w:t xml:space="preserve">Official company background</w:t>
      </w:r>
    </w:p>
    <w:p>
      <w:pPr>
        <w:pStyle w:val="FirstParagraph"/>
      </w:pPr>
      <w:r>
        <w:rPr>
          <w:b/>
          <w:bCs/>
        </w:rPr>
        <w:t xml:space="preserve">Corporate structure and registration (highest-confidence sources).</w:t>
      </w:r>
      <w:r>
        <w:br/>
      </w:r>
      <w:r>
        <w:t xml:space="preserve">The developer and holding-company layer is identifiable as Furaha Holding Ltd</w:t>
      </w:r>
      <w:hyperlink r:id="rId21">
        <w:r>
          <w:rPr>
            <w:rStyle w:val="Hyperlink"/>
          </w:rPr>
          <w:t xml:space="preserve">[15]</w:t>
        </w:r>
      </w:hyperlink>
      <w:r>
        <w:t xml:space="preserve">, registered in the Dubai International Financial Centre</w:t>
      </w:r>
      <w:hyperlink r:id="rId32">
        <w:r>
          <w:rPr>
            <w:rStyle w:val="Hyperlink"/>
          </w:rPr>
          <w:t xml:space="preserve">[16]</w:t>
        </w:r>
      </w:hyperlink>
      <w:r>
        <w:t xml:space="preserve"> </w:t>
      </w:r>
      <w:r>
        <w:t xml:space="preserve">with entity ID</w:t>
      </w:r>
      <w:r>
        <w:t xml:space="preserve"> </w:t>
      </w:r>
      <w:r>
        <w:rPr>
          <w:b/>
          <w:bCs/>
        </w:rPr>
        <w:t xml:space="preserve">7531</w:t>
      </w:r>
      <w:r>
        <w:t xml:space="preserve"> </w:t>
      </w:r>
      <w:r>
        <w:t xml:space="preserve">and a stated creation/incorporation date in 2023 (LEI and public corporate disclosures).</w:t>
      </w:r>
      <w:r>
        <w:t xml:space="preserve"> </w:t>
      </w:r>
      <w:hyperlink r:id="rId33">
        <w:r>
          <w:rPr>
            <w:rStyle w:val="Hyperlink"/>
          </w:rPr>
          <w:t xml:space="preserve">[17]</w:t>
        </w:r>
      </w:hyperlink>
      <w:r>
        <w:t xml:space="preserve"> </w:t>
      </w:r>
      <w:r>
        <w:t xml:space="preserve">A local operating entity is separately identifiable as Furaha Finserve Uganda Limited</w:t>
      </w:r>
      <w:hyperlink r:id="rId34">
        <w:r>
          <w:rPr>
            <w:rStyle w:val="Hyperlink"/>
          </w:rPr>
          <w:t xml:space="preserve">[18]</w:t>
        </w:r>
      </w:hyperlink>
      <w:r>
        <w:t xml:space="preserve"> </w:t>
      </w:r>
      <w:r>
        <w:t xml:space="preserve">with a Uganda registration authority entity ID reported in LEI data.</w:t>
      </w:r>
      <w:r>
        <w:t xml:space="preserve"> </w:t>
      </w:r>
      <w:hyperlink r:id="rId35">
        <w:r>
          <w:rPr>
            <w:rStyle w:val="Hyperlink"/>
          </w:rPr>
          <w:t xml:space="preserve">[19]</w:t>
        </w:r>
      </w:hyperlink>
    </w:p>
    <w:p>
      <w:pPr>
        <w:pStyle w:val="BodyText"/>
      </w:pPr>
      <w:r>
        <w:rPr>
          <w:b/>
          <w:bCs/>
        </w:rPr>
        <w:t xml:space="preserve">Ownership and strategic backing (primary/official).</w:t>
      </w:r>
      <w:r>
        <w:br/>
      </w:r>
      <w:r>
        <w:t xml:space="preserve">An official disclosure by Tech Mahindra</w:t>
      </w:r>
      <w:hyperlink r:id="rId23">
        <w:r>
          <w:rPr>
            <w:rStyle w:val="Hyperlink"/>
          </w:rPr>
          <w:t xml:space="preserve">[20]</w:t>
        </w:r>
      </w:hyperlink>
      <w:r>
        <w:t xml:space="preserve">’s group entity describes Furaha Holding Ltd as a DIFC-incorporated company, “engaged in digital lending,” and explicitly states it is a</w:t>
      </w:r>
      <w:r>
        <w:t xml:space="preserve"> </w:t>
      </w:r>
      <w:r>
        <w:rPr>
          <w:b/>
          <w:bCs/>
        </w:rPr>
        <w:t xml:space="preserve">subsidiary of SC Ventures Holdings Limited (a Standard Chartered Plc company)</w:t>
      </w:r>
      <w:r>
        <w:t xml:space="preserve">, with commercial activities commencing via the Uganda subsidiary.</w:t>
      </w:r>
      <w:r>
        <w:t xml:space="preserve"> </w:t>
      </w:r>
      <w:hyperlink r:id="rId36">
        <w:r>
          <w:rPr>
            <w:rStyle w:val="Hyperlink"/>
          </w:rPr>
          <w:t xml:space="preserve">[21]</w:t>
        </w:r>
      </w:hyperlink>
      <w:r>
        <w:t xml:space="preserve"> </w:t>
      </w:r>
      <w:r>
        <w:t xml:space="preserve">LEI relationship data also shows an ultimate-parent relationship with Standard Chartered PLC</w:t>
      </w:r>
      <w:hyperlink r:id="rId37">
        <w:r>
          <w:rPr>
            <w:rStyle w:val="Hyperlink"/>
          </w:rPr>
          <w:t xml:space="preserve">[22]</w:t>
        </w:r>
      </w:hyperlink>
      <w:r>
        <w:t xml:space="preserve">.</w:t>
      </w:r>
      <w:r>
        <w:t xml:space="preserve"> </w:t>
      </w:r>
      <w:hyperlink r:id="rId33">
        <w:r>
          <w:rPr>
            <w:rStyle w:val="Hyperlink"/>
          </w:rPr>
          <w:t xml:space="preserve">[23]</w:t>
        </w:r>
      </w:hyperlink>
    </w:p>
    <w:p>
      <w:pPr>
        <w:pStyle w:val="BodyText"/>
      </w:pPr>
      <w:r>
        <w:rPr>
          <w:b/>
          <w:bCs/>
        </w:rPr>
        <w:t xml:space="preserve">Incubation and technology partnership.</w:t>
      </w:r>
      <w:r>
        <w:br/>
      </w:r>
      <w:r>
        <w:t xml:space="preserve">A press release from SC Ventures</w:t>
      </w:r>
      <w:hyperlink r:id="rId22">
        <w:r>
          <w:rPr>
            <w:rStyle w:val="Hyperlink"/>
          </w:rPr>
          <w:t xml:space="preserve">[24]</w:t>
        </w:r>
      </w:hyperlink>
      <w:r>
        <w:t xml:space="preserve"> </w:t>
      </w:r>
      <w:r>
        <w:t xml:space="preserve">states it invested</w:t>
      </w:r>
      <w:r>
        <w:t xml:space="preserve"> </w:t>
      </w:r>
      <w:r>
        <w:rPr>
          <w:b/>
          <w:bCs/>
        </w:rPr>
        <w:t xml:space="preserve">$7 million</w:t>
      </w:r>
      <w:r>
        <w:t xml:space="preserve">, while Yabx Technologies (Netherlands) B.V.</w:t>
      </w:r>
      <w:hyperlink r:id="rId26">
        <w:r>
          <w:rPr>
            <w:rStyle w:val="Hyperlink"/>
          </w:rPr>
          <w:t xml:space="preserve">[25]</w:t>
        </w:r>
      </w:hyperlink>
      <w:r>
        <w:t xml:space="preserve"> </w:t>
      </w:r>
      <w:r>
        <w:t xml:space="preserve">contributed via technology transfer, describing a combined</w:t>
      </w:r>
      <w:r>
        <w:t xml:space="preserve"> </w:t>
      </w:r>
      <w:r>
        <w:rPr>
          <w:b/>
          <w:bCs/>
        </w:rPr>
        <w:t xml:space="preserve">$10 million</w:t>
      </w:r>
      <w:r>
        <w:t xml:space="preserve"> </w:t>
      </w:r>
      <w:r>
        <w:t xml:space="preserve">investment to set up Furaha and expand “purpose-driven financing” (first market: Uganda; HQ: DIFC).</w:t>
      </w:r>
      <w:r>
        <w:t xml:space="preserve"> </w:t>
      </w:r>
      <w:hyperlink r:id="rId38">
        <w:r>
          <w:rPr>
            <w:rStyle w:val="Hyperlink"/>
          </w:rPr>
          <w:t xml:space="preserve">[26]</w:t>
        </w:r>
      </w:hyperlink>
      <w:r>
        <w:t xml:space="preserve"> </w:t>
      </w:r>
      <w:r>
        <w:t xml:space="preserve">This release also describes an ecosystem designed to support</w:t>
      </w:r>
      <w:r>
        <w:t xml:space="preserve"> </w:t>
      </w:r>
      <w:r>
        <w:rPr>
          <w:b/>
          <w:bCs/>
        </w:rPr>
        <w:t xml:space="preserve">credit scoring</w:t>
      </w:r>
      <w:r>
        <w:t xml:space="preserve"> </w:t>
      </w:r>
      <w:r>
        <w:t xml:space="preserve">for bank-originated education loans (i.e., facilitating banks rather than originating credit itself).</w:t>
      </w:r>
      <w:r>
        <w:t xml:space="preserve"> </w:t>
      </w:r>
      <w:hyperlink r:id="rId38">
        <w:r>
          <w:rPr>
            <w:rStyle w:val="Hyperlink"/>
          </w:rPr>
          <w:t xml:space="preserve">[26]</w:t>
        </w:r>
      </w:hyperlink>
    </w:p>
    <w:p>
      <w:pPr>
        <w:pStyle w:val="BodyText"/>
      </w:pPr>
      <w:r>
        <w:rPr>
          <w:b/>
          <w:bCs/>
        </w:rPr>
        <w:t xml:space="preserve">Headquarters and local offices (as published by Furaha).</w:t>
      </w:r>
      <w:r>
        <w:br/>
      </w:r>
      <w:r>
        <w:t xml:space="preserve">The Furaha website lists an office presence in Dubai and a Kampala address; it also states a local data-controller registration reference on the Uganda address line.</w:t>
      </w:r>
      <w:r>
        <w:t xml:space="preserve"> </w:t>
      </w:r>
      <w:hyperlink r:id="rId21">
        <w:r>
          <w:rPr>
            <w:rStyle w:val="Hyperlink"/>
          </w:rPr>
          <w:t xml:space="preserve">[27]</w:t>
        </w:r>
      </w:hyperlink>
      <w:r>
        <w:t xml:space="preserve"> </w:t>
      </w:r>
      <w:r>
        <w:t xml:space="preserve">When installed, app-store disclosures show the developer address in DIFC, consistent with LEI data.</w:t>
      </w:r>
      <w:r>
        <w:t xml:space="preserve"> </w:t>
      </w:r>
      <w:hyperlink r:id="rId23">
        <w:r>
          <w:rPr>
            <w:rStyle w:val="Hyperlink"/>
          </w:rPr>
          <w:t xml:space="preserve">[28]</w:t>
        </w:r>
      </w:hyperlink>
      <w:r>
        <w:t xml:space="preserve"> </w:t>
      </w:r>
      <w:r>
        <w:t xml:space="preserve">The website further states that the Uganda entity is a</w:t>
      </w:r>
      <w:r>
        <w:t xml:space="preserve"> </w:t>
      </w:r>
      <w:r>
        <w:rPr>
          <w:b/>
          <w:bCs/>
        </w:rPr>
        <w:t xml:space="preserve">“software-based intermediary platform”</w:t>
      </w:r>
      <w:r>
        <w:t xml:space="preserve"> </w:t>
      </w:r>
      <w:r>
        <w:t xml:space="preserve">and “does not provide loans or credit directly.”</w:t>
      </w:r>
      <w:r>
        <w:t xml:space="preserve"> </w:t>
      </w:r>
      <w:hyperlink r:id="rId21">
        <w:r>
          <w:rPr>
            <w:rStyle w:val="Hyperlink"/>
          </w:rPr>
          <w:t xml:space="preserve">[29]</w:t>
        </w:r>
      </w:hyperlink>
    </w:p>
    <w:p>
      <w:pPr>
        <w:pStyle w:val="BodyText"/>
      </w:pPr>
      <w:r>
        <w:rPr>
          <w:b/>
          <w:bCs/>
        </w:rPr>
        <w:t xml:space="preserve">Leadership signals (official).</w:t>
      </w:r>
      <w:r>
        <w:br/>
      </w:r>
      <w:r>
        <w:t xml:space="preserve">The SC Ventures announcement describes Furaha as co-founded by Yustus Aribariho</w:t>
      </w:r>
      <w:hyperlink r:id="rId22">
        <w:r>
          <w:rPr>
            <w:rStyle w:val="Hyperlink"/>
          </w:rPr>
          <w:t xml:space="preserve">[30]</w:t>
        </w:r>
      </w:hyperlink>
      <w:r>
        <w:t xml:space="preserve"> </w:t>
      </w:r>
      <w:r>
        <w:t xml:space="preserve">and Ian Fernandes</w:t>
      </w:r>
      <w:hyperlink r:id="rId23">
        <w:r>
          <w:rPr>
            <w:rStyle w:val="Hyperlink"/>
          </w:rPr>
          <w:t xml:space="preserve">[31]</w:t>
        </w:r>
      </w:hyperlink>
      <w:r>
        <w:t xml:space="preserve">.</w:t>
      </w:r>
      <w:r>
        <w:t xml:space="preserve"> </w:t>
      </w:r>
      <w:hyperlink r:id="rId38">
        <w:r>
          <w:rPr>
            <w:rStyle w:val="Hyperlink"/>
          </w:rPr>
          <w:t xml:space="preserve">[26]</w:t>
        </w:r>
      </w:hyperlink>
      <w:r>
        <w:t xml:space="preserve"> </w:t>
      </w:r>
      <w:r>
        <w:t xml:space="preserve">Independent reporting on the DTB partnership identifies Dennis Musinguzi</w:t>
      </w:r>
      <w:hyperlink r:id="rId24">
        <w:r>
          <w:rPr>
            <w:rStyle w:val="Hyperlink"/>
          </w:rPr>
          <w:t xml:space="preserve">[32]</w:t>
        </w:r>
      </w:hyperlink>
      <w:r>
        <w:t xml:space="preserve"> </w:t>
      </w:r>
      <w:r>
        <w:t xml:space="preserve">as CEO of the Uganda entity at the time of the DTB–Furaha launch communications.</w:t>
      </w:r>
      <w:r>
        <w:t xml:space="preserve"> </w:t>
      </w:r>
      <w:hyperlink r:id="rId39">
        <w:r>
          <w:rPr>
            <w:rStyle w:val="Hyperlink"/>
          </w:rPr>
          <w:t xml:space="preserve">[33]</w:t>
        </w:r>
      </w:hyperlink>
    </w:p>
    <w:bookmarkEnd w:id="40"/>
    <w:bookmarkStart w:id="42" w:name="X8e19b1af8b28c91ff3afd7d98d841b600e45ff0"/>
    <w:p>
      <w:pPr>
        <w:pStyle w:val="Heading2"/>
      </w:pPr>
      <w:r>
        <w:t xml:space="preserve">Product types, pricing, fees, collateral, and repayment terms</w:t>
      </w:r>
    </w:p>
    <w:p>
      <w:pPr>
        <w:pStyle w:val="FirstParagraph"/>
      </w:pPr>
      <w:r>
        <w:rPr>
          <w:b/>
          <w:bCs/>
        </w:rPr>
        <w:t xml:space="preserve">What Furaha Uganda says it offers today.</w:t>
      </w:r>
      <w:r>
        <w:br/>
      </w:r>
      <w:r>
        <w:t xml:space="preserve">The official FAQs state Furaha currently offers</w:t>
      </w:r>
      <w:r>
        <w:t xml:space="preserve"> </w:t>
      </w:r>
      <w:r>
        <w:rPr>
          <w:b/>
          <w:bCs/>
        </w:rPr>
        <w:t xml:space="preserve">a School Fees Loans product</w:t>
      </w:r>
      <w:r>
        <w:t xml:space="preserve">, disbursed directly to the school and repayable over up to three months, with the ability to allocate a limit across multiple students.</w:t>
      </w:r>
      <w:r>
        <w:t xml:space="preserve"> </w:t>
      </w:r>
      <w:hyperlink r:id="rId24">
        <w:r>
          <w:rPr>
            <w:rStyle w:val="Hyperlink"/>
          </w:rPr>
          <w:t xml:space="preserve">[34]</w:t>
        </w:r>
      </w:hyperlink>
      <w:r>
        <w:t xml:space="preserve"> </w:t>
      </w:r>
      <w:r>
        <w:t xml:space="preserve">The product page similarly emphasizes: fixed monthly interest, a flat processing fee, direct-to-school disbursement, and repayment flexibility (weekly/monthly), using school-fees aggregators.</w:t>
      </w:r>
      <w:r>
        <w:t xml:space="preserve"> </w:t>
      </w:r>
      <w:hyperlink r:id="rId34">
        <w:r>
          <w:rPr>
            <w:rStyle w:val="Hyperlink"/>
          </w:rPr>
          <w:t xml:space="preserve">[35]</w:t>
        </w:r>
      </w:hyperlink>
    </w:p>
    <w:p>
      <w:pPr>
        <w:pStyle w:val="BodyText"/>
      </w:pPr>
      <w:r>
        <w:rPr>
          <w:b/>
          <w:bCs/>
        </w:rPr>
        <w:t xml:space="preserve">Important inconsistency: maximum loan amount.</w:t>
      </w:r>
      <w:r>
        <w:br/>
      </w:r>
      <w:r>
        <w:t xml:space="preserve">Furaha’s website homepage and some marketing pages display a maximum “UGX 3,500,000” figure, while the product page, FAQ, and app-store listings consistently state “UGX 2,000,000.” This discrepancy should be treated as</w:t>
      </w:r>
      <w:r>
        <w:t xml:space="preserve"> </w:t>
      </w:r>
      <w:r>
        <w:rPr>
          <w:b/>
          <w:bCs/>
        </w:rPr>
        <w:t xml:space="preserve">unresolved</w:t>
      </w:r>
      <w:r>
        <w:t xml:space="preserve"> </w:t>
      </w:r>
      <w:r>
        <w:t xml:space="preserve">without in-app confirmation at time of application.</w:t>
      </w:r>
      <w:r>
        <w:t xml:space="preserve"> </w:t>
      </w:r>
      <w:hyperlink r:id="rId27">
        <w:r>
          <w:rPr>
            <w:rStyle w:val="Hyperlink"/>
          </w:rPr>
          <w:t xml:space="preserve">[36]</w:t>
        </w:r>
      </w:hyperlink>
    </w:p>
    <w:bookmarkStart w:id="41" w:name="product-comparison-table"/>
    <w:p>
      <w:pPr>
        <w:pStyle w:val="Heading3"/>
      </w:pPr>
      <w:r>
        <w:t xml:space="preserve">Product comparison table</w:t>
      </w:r>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Product / channel</w:t>
            </w:r>
          </w:p>
        </w:tc>
        <w:tc>
          <w:tcPr/>
          <w:p>
            <w:pPr>
              <w:pStyle w:val="Compact"/>
              <w:jc w:val="right"/>
            </w:pPr>
            <w:r>
              <w:t xml:space="preserve">Amount</w:t>
            </w:r>
          </w:p>
        </w:tc>
        <w:tc>
          <w:tcPr/>
          <w:p>
            <w:pPr>
              <w:pStyle w:val="Compact"/>
              <w:jc w:val="right"/>
            </w:pPr>
            <w:r>
              <w:t xml:space="preserve">Tenor</w:t>
            </w:r>
          </w:p>
        </w:tc>
        <w:tc>
          <w:tcPr/>
          <w:p>
            <w:pPr>
              <w:pStyle w:val="Compact"/>
            </w:pPr>
            <w:r>
              <w:t xml:space="preserve">Interest / APR</w:t>
            </w:r>
          </w:p>
        </w:tc>
        <w:tc>
          <w:tcPr/>
          <w:p>
            <w:pPr>
              <w:pStyle w:val="Compact"/>
            </w:pPr>
            <w:r>
              <w:t xml:space="preserve">Fees</w:t>
            </w:r>
          </w:p>
        </w:tc>
        <w:tc>
          <w:tcPr/>
          <w:p>
            <w:pPr>
              <w:pStyle w:val="Compact"/>
            </w:pPr>
            <w:r>
              <w:t xml:space="preserve">Collateral requirement</w:t>
            </w:r>
          </w:p>
        </w:tc>
        <w:tc>
          <w:tcPr/>
          <w:p>
            <w:pPr>
              <w:pStyle w:val="Compact"/>
            </w:pPr>
            <w:r>
              <w:t xml:space="preserve">Disbursement</w:t>
            </w:r>
          </w:p>
        </w:tc>
        <w:tc>
          <w:tcPr/>
          <w:p>
            <w:pPr>
              <w:pStyle w:val="Compact"/>
            </w:pPr>
            <w:r>
              <w:t xml:space="preserve">Repayment &amp; penalties</w:t>
            </w:r>
          </w:p>
        </w:tc>
      </w:tr>
      <w:tr>
        <w:tc>
          <w:tcPr/>
          <w:p>
            <w:pPr>
              <w:pStyle w:val="Compact"/>
            </w:pPr>
            <w:r>
              <w:t xml:space="preserve">Furaha Uganda school-fees loan (via Furaha app/USSD; bank-partner originated)</w:t>
            </w:r>
          </w:p>
        </w:tc>
        <w:tc>
          <w:tcPr/>
          <w:p>
            <w:pPr>
              <w:pStyle w:val="Compact"/>
              <w:jc w:val="right"/>
            </w:pPr>
            <w:r>
              <w:t xml:space="preserve">UGX 200,000–UGX 2,000,000 (website marketing also shows UGX 3,500,000; unresolved)</w:t>
            </w:r>
            <w:r>
              <w:t xml:space="preserve"> </w:t>
            </w:r>
            <w:hyperlink r:id="rId24">
              <w:r>
                <w:rPr>
                  <w:rStyle w:val="Hyperlink"/>
                </w:rPr>
                <w:t xml:space="preserve">[37]</w:t>
              </w:r>
            </w:hyperlink>
          </w:p>
        </w:tc>
        <w:tc>
          <w:tcPr/>
          <w:p>
            <w:pPr>
              <w:pStyle w:val="Compact"/>
              <w:jc w:val="right"/>
            </w:pPr>
            <w:r>
              <w:t xml:space="preserve">Fixed 90 days / ~3 months</w:t>
            </w:r>
            <w:r>
              <w:t xml:space="preserve"> </w:t>
            </w:r>
            <w:hyperlink r:id="rId23">
              <w:r>
                <w:rPr>
                  <w:rStyle w:val="Hyperlink"/>
                </w:rPr>
                <w:t xml:space="preserve">[38]</w:t>
              </w:r>
            </w:hyperlink>
          </w:p>
        </w:tc>
        <w:tc>
          <w:tcPr/>
          <w:p>
            <w:pPr>
              <w:pStyle w:val="Compact"/>
            </w:pPr>
            <w:r>
              <w:t xml:space="preserve">5% per month; stated max APR 74%</w:t>
            </w:r>
            <w:r>
              <w:t xml:space="preserve"> </w:t>
            </w:r>
            <w:hyperlink r:id="rId23">
              <w:r>
                <w:rPr>
                  <w:rStyle w:val="Hyperlink"/>
                </w:rPr>
                <w:t xml:space="preserve">[4]</w:t>
              </w:r>
            </w:hyperlink>
          </w:p>
        </w:tc>
        <w:tc>
          <w:tcPr/>
          <w:p>
            <w:pPr>
              <w:pStyle w:val="Compact"/>
            </w:pPr>
            <w:r>
              <w:t xml:space="preserve">3% processing/access fee on disbursed amount; taxes “currently none” (site claim)</w:t>
            </w:r>
            <w:r>
              <w:t xml:space="preserve"> </w:t>
            </w:r>
            <w:hyperlink r:id="rId23">
              <w:r>
                <w:rPr>
                  <w:rStyle w:val="Hyperlink"/>
                </w:rPr>
                <w:t xml:space="preserve">[39]</w:t>
              </w:r>
            </w:hyperlink>
          </w:p>
        </w:tc>
        <w:tc>
          <w:tcPr/>
          <w:p>
            <w:pPr>
              <w:pStyle w:val="Compact"/>
            </w:pPr>
            <w:r>
              <w:t xml:space="preserve">No explicit physical collateral stated; repayment enforcement via mobile-wallet auto-debit is central</w:t>
            </w:r>
            <w:r>
              <w:t xml:space="preserve"> </w:t>
            </w:r>
            <w:hyperlink r:id="rId22">
              <w:r>
                <w:rPr>
                  <w:rStyle w:val="Hyperlink"/>
                </w:rPr>
                <w:t xml:space="preserve">[40]</w:t>
              </w:r>
            </w:hyperlink>
          </w:p>
        </w:tc>
        <w:tc>
          <w:tcPr/>
          <w:p>
            <w:pPr>
              <w:pStyle w:val="Compact"/>
            </w:pPr>
            <w:r>
              <w:t xml:space="preserve">Paid directly to school via aggregators / partner rails</w:t>
            </w:r>
            <w:r>
              <w:t xml:space="preserve"> </w:t>
            </w:r>
            <w:hyperlink r:id="rId34">
              <w:r>
                <w:rPr>
                  <w:rStyle w:val="Hyperlink"/>
                </w:rPr>
                <w:t xml:space="preserve">[41]</w:t>
              </w:r>
            </w:hyperlink>
          </w:p>
        </w:tc>
        <w:tc>
          <w:tcPr/>
          <w:p>
            <w:pPr>
              <w:pStyle w:val="Compact"/>
            </w:pPr>
            <w:r>
              <w:t xml:space="preserve">Weekly or monthly; no early repayment penalty; late penalty 2.5% on overdue; auto-debit if unpaid</w:t>
            </w:r>
            <w:r>
              <w:t xml:space="preserve"> </w:t>
            </w:r>
            <w:hyperlink r:id="rId24">
              <w:r>
                <w:rPr>
                  <w:rStyle w:val="Hyperlink"/>
                </w:rPr>
                <w:t xml:space="preserve">[42]</w:t>
              </w:r>
            </w:hyperlink>
          </w:p>
        </w:tc>
      </w:tr>
      <w:tr>
        <w:tc>
          <w:tcPr/>
          <w:p>
            <w:pPr>
              <w:pStyle w:val="Compact"/>
            </w:pPr>
            <w:r>
              <w:t xml:space="preserve">“Furahaloan Tanzania OnlineLoan” (Google Play)</w:t>
            </w:r>
          </w:p>
        </w:tc>
        <w:tc>
          <w:tcPr/>
          <w:p>
            <w:pPr>
              <w:pStyle w:val="Compact"/>
              <w:jc w:val="right"/>
            </w:pPr>
            <w:r>
              <w:t xml:space="preserve">TZS 10,000–TZS 800,000</w:t>
            </w:r>
            <w:r>
              <w:t xml:space="preserve"> </w:t>
            </w:r>
            <w:hyperlink r:id="rId26">
              <w:r>
                <w:rPr>
                  <w:rStyle w:val="Hyperlink"/>
                </w:rPr>
                <w:t xml:space="preserve">[7]</w:t>
              </w:r>
            </w:hyperlink>
          </w:p>
        </w:tc>
        <w:tc>
          <w:tcPr/>
          <w:p>
            <w:pPr>
              <w:pStyle w:val="Compact"/>
              <w:jc w:val="right"/>
            </w:pPr>
            <w:r>
              <w:t xml:space="preserve">91–365 days</w:t>
            </w:r>
            <w:r>
              <w:t xml:space="preserve"> </w:t>
            </w:r>
            <w:hyperlink r:id="rId26">
              <w:r>
                <w:rPr>
                  <w:rStyle w:val="Hyperlink"/>
                </w:rPr>
                <w:t xml:space="preserve">[7]</w:t>
              </w:r>
            </w:hyperlink>
          </w:p>
        </w:tc>
        <w:tc>
          <w:tcPr/>
          <w:p>
            <w:pPr>
              <w:pStyle w:val="Compact"/>
            </w:pPr>
            <w:r>
              <w:t xml:space="preserve">APR 8%–36% (as stated)</w:t>
            </w:r>
            <w:r>
              <w:t xml:space="preserve"> </w:t>
            </w:r>
            <w:hyperlink r:id="rId26">
              <w:r>
                <w:rPr>
                  <w:rStyle w:val="Hyperlink"/>
                </w:rPr>
                <w:t xml:space="preserve">[7]</w:t>
              </w:r>
            </w:hyperlink>
          </w:p>
        </w:tc>
        <w:tc>
          <w:tcPr/>
          <w:p>
            <w:pPr>
              <w:pStyle w:val="Compact"/>
            </w:pPr>
            <w:r>
              <w:t xml:space="preserve">Unspecified</w:t>
            </w:r>
          </w:p>
        </w:tc>
        <w:tc>
          <w:tcPr/>
          <w:p>
            <w:pPr>
              <w:pStyle w:val="Compact"/>
            </w:pPr>
            <w:r>
              <w:t xml:space="preserve">Unspecified</w:t>
            </w:r>
          </w:p>
        </w:tc>
        <w:tc>
          <w:tcPr/>
          <w:p>
            <w:pPr>
              <w:pStyle w:val="Compact"/>
            </w:pPr>
            <w:r>
              <w:t xml:space="preserve">“Funds transferred to your account” after approval (as stated)</w:t>
            </w:r>
            <w:r>
              <w:t xml:space="preserve"> </w:t>
            </w:r>
            <w:hyperlink r:id="rId26">
              <w:r>
                <w:rPr>
                  <w:rStyle w:val="Hyperlink"/>
                </w:rPr>
                <w:t xml:space="preserve">[7]</w:t>
              </w:r>
            </w:hyperlink>
          </w:p>
        </w:tc>
        <w:tc>
          <w:tcPr/>
          <w:p>
            <w:pPr>
              <w:pStyle w:val="Compact"/>
            </w:pPr>
            <w:r>
              <w:t xml:space="preserve">Steps and repayment details largely unspecified; limited store-text only</w:t>
            </w:r>
            <w:r>
              <w:t xml:space="preserve"> </w:t>
            </w:r>
            <w:hyperlink r:id="rId26">
              <w:r>
                <w:rPr>
                  <w:rStyle w:val="Hyperlink"/>
                </w:rPr>
                <w:t xml:space="preserve">[7]</w:t>
              </w:r>
            </w:hyperlink>
          </w:p>
        </w:tc>
      </w:tr>
      <w:tr>
        <w:tc>
          <w:tcPr/>
          <w:p>
            <w:pPr>
              <w:pStyle w:val="Compact"/>
            </w:pPr>
            <w:r>
              <w:t xml:space="preserve">“Furaha Loan” Kenya website (furahaloan.site)</w:t>
            </w:r>
          </w:p>
        </w:tc>
        <w:tc>
          <w:tcPr/>
          <w:p>
            <w:pPr>
              <w:pStyle w:val="Compact"/>
              <w:jc w:val="right"/>
            </w:pPr>
            <w:r>
              <w:t xml:space="preserve">Unspecified</w:t>
            </w:r>
          </w:p>
        </w:tc>
        <w:tc>
          <w:tcPr/>
          <w:p>
            <w:pPr>
              <w:pStyle w:val="Compact"/>
              <w:jc w:val="right"/>
            </w:pPr>
            <w:r>
              <w:t xml:space="preserve">Unspecified</w:t>
            </w:r>
          </w:p>
        </w:tc>
        <w:tc>
          <w:tcPr/>
          <w:p>
            <w:pPr>
              <w:pStyle w:val="Compact"/>
            </w:pPr>
            <w:r>
              <w:t xml:space="preserve">Unspecified</w:t>
            </w:r>
          </w:p>
        </w:tc>
        <w:tc>
          <w:tcPr/>
          <w:p>
            <w:pPr>
              <w:pStyle w:val="Compact"/>
            </w:pPr>
            <w:r>
              <w:t xml:space="preserve">Unspecified</w:t>
            </w:r>
          </w:p>
        </w:tc>
        <w:tc>
          <w:tcPr/>
          <w:p>
            <w:pPr>
              <w:pStyle w:val="Compact"/>
            </w:pPr>
            <w:r>
              <w:t xml:space="preserve">Unspecified</w:t>
            </w:r>
          </w:p>
        </w:tc>
        <w:tc>
          <w:tcPr/>
          <w:p>
            <w:pPr>
              <w:pStyle w:val="Compact"/>
            </w:pPr>
            <w:r>
              <w:t xml:space="preserve">Claims mobile disbursement and M‑Pesa integration (unverified)</w:t>
            </w:r>
            <w:r>
              <w:t xml:space="preserve"> </w:t>
            </w:r>
            <w:hyperlink r:id="rId28">
              <w:r>
                <w:rPr>
                  <w:rStyle w:val="Hyperlink"/>
                </w:rPr>
                <w:t xml:space="preserve">[9]</w:t>
              </w:r>
            </w:hyperlink>
          </w:p>
        </w:tc>
        <w:tc>
          <w:tcPr/>
          <w:p>
            <w:pPr>
              <w:pStyle w:val="Compact"/>
            </w:pPr>
            <w:r>
              <w:t xml:space="preserve">Unspecified</w:t>
            </w:r>
          </w:p>
        </w:tc>
      </w:tr>
    </w:tbl>
    <w:bookmarkEnd w:id="41"/>
    <w:bookmarkEnd w:id="42"/>
    <w:bookmarkStart w:id="45" w:name="X6923b7dcedabef0c494ae0bc6621b3ef00fa7a7"/>
    <w:p>
      <w:pPr>
        <w:pStyle w:val="Heading2"/>
      </w:pPr>
      <w:r>
        <w:t xml:space="preserve">Eligibility criteria, application process, and underwriting methods</w:t>
      </w:r>
    </w:p>
    <w:p>
      <w:pPr>
        <w:pStyle w:val="FirstParagraph"/>
      </w:pPr>
      <w:r>
        <w:rPr>
          <w:b/>
          <w:bCs/>
        </w:rPr>
        <w:t xml:space="preserve">Eligibility and required documents (Uganda product).</w:t>
      </w:r>
      <w:r>
        <w:br/>
      </w:r>
      <w:r>
        <w:t xml:space="preserve">Furaha’s Terms &amp; Conditions (dated Feb 25, 2025) state account registration requires the user to be a Ugandan national aged</w:t>
      </w:r>
      <w:r>
        <w:t xml:space="preserve"> </w:t>
      </w:r>
      <w:r>
        <w:rPr>
          <w:b/>
          <w:bCs/>
        </w:rPr>
        <w:t xml:space="preserve">21–60</w:t>
      </w:r>
      <w:r>
        <w:t xml:space="preserve">, residing in Uganda, and an active mobile-wallet subscriber; KYC includes</w:t>
      </w:r>
      <w:r>
        <w:t xml:space="preserve"> </w:t>
      </w:r>
      <w:r>
        <w:rPr>
          <w:b/>
          <w:bCs/>
        </w:rPr>
        <w:t xml:space="preserve">National Identification Number (NIN)</w:t>
      </w:r>
      <w:r>
        <w:t xml:space="preserve"> </w:t>
      </w:r>
      <w:r>
        <w:t xml:space="preserve">and a</w:t>
      </w:r>
      <w:r>
        <w:t xml:space="preserve"> </w:t>
      </w:r>
      <w:r>
        <w:rPr>
          <w:b/>
          <w:bCs/>
        </w:rPr>
        <w:t xml:space="preserve">live face image</w:t>
      </w:r>
      <w:r>
        <w:t xml:space="preserve"> </w:t>
      </w:r>
      <w:r>
        <w:t xml:space="preserve">(selfie), with verification against telecom and government sources.</w:t>
      </w:r>
      <w:r>
        <w:t xml:space="preserve"> </w:t>
      </w:r>
      <w:hyperlink r:id="rId22">
        <w:r>
          <w:rPr>
            <w:rStyle w:val="Hyperlink"/>
          </w:rPr>
          <w:t xml:space="preserve">[43]</w:t>
        </w:r>
      </w:hyperlink>
      <w:r>
        <w:t xml:space="preserve"> </w:t>
      </w:r>
      <w:r>
        <w:t xml:space="preserve">The FAQ reiterates ID scan + selfie and adds operational criteria such as being a resident of Uganda, active on MTN mobile money, and active payers with a school fees aggregator (noting MTN-only enrollment at the time the FAQ text was written).</w:t>
      </w:r>
      <w:r>
        <w:t xml:space="preserve"> </w:t>
      </w:r>
      <w:hyperlink r:id="rId24">
        <w:r>
          <w:rPr>
            <w:rStyle w:val="Hyperlink"/>
          </w:rPr>
          <w:t xml:space="preserve">[34]</w:t>
        </w:r>
      </w:hyperlink>
    </w:p>
    <w:p>
      <w:pPr>
        <w:pStyle w:val="BodyText"/>
      </w:pPr>
      <w:r>
        <w:rPr>
          <w:b/>
          <w:bCs/>
        </w:rPr>
        <w:t xml:space="preserve">Application and disbursement workflow (Uganda product).</w:t>
      </w:r>
      <w:r>
        <w:br/>
      </w:r>
      <w:r>
        <w:t xml:space="preserve">The FAQ describes a digital sign-up path (download app → sign up), the ability to resume an incomplete application within 60 days, and a “real-time” approval process in which the loan limit is displayed during application.</w:t>
      </w:r>
      <w:r>
        <w:t xml:space="preserve"> </w:t>
      </w:r>
      <w:hyperlink r:id="rId24">
        <w:r>
          <w:rPr>
            <w:rStyle w:val="Hyperlink"/>
          </w:rPr>
          <w:t xml:space="preserve">[34]</w:t>
        </w:r>
      </w:hyperlink>
      <w:r>
        <w:t xml:space="preserve"> </w:t>
      </w:r>
      <w:r>
        <w:t xml:space="preserve">Independent reporting and bank communications for the DTB–Furaha product describe applying via the app or USSD, entering a student number, selecting a payment plan, and disbursement directly to the school.</w:t>
      </w:r>
      <w:r>
        <w:t xml:space="preserve"> </w:t>
      </w:r>
      <w:hyperlink r:id="rId39">
        <w:r>
          <w:rPr>
            <w:rStyle w:val="Hyperlink"/>
          </w:rPr>
          <w:t xml:space="preserve">[33]</w:t>
        </w:r>
      </w:hyperlink>
    </w:p>
    <w:p>
      <w:pPr>
        <w:pStyle w:val="BodyText"/>
      </w:pPr>
      <w:r>
        <w:rPr>
          <w:b/>
          <w:bCs/>
        </w:rPr>
        <w:t xml:space="preserve">Underwriting and credit scoring (Uganda product).</w:t>
      </w:r>
      <w:r>
        <w:br/>
      </w:r>
      <w:r>
        <w:t xml:space="preserve">Across primary sources, underwriting appears to be based on</w:t>
      </w:r>
      <w:r>
        <w:t xml:space="preserve"> </w:t>
      </w:r>
      <w:r>
        <w:rPr>
          <w:b/>
          <w:bCs/>
        </w:rPr>
        <w:t xml:space="preserve">alternative and partnership data</w:t>
      </w:r>
      <w:r>
        <w:t xml:space="preserve">:</w:t>
      </w:r>
    </w:p>
    <w:p>
      <w:pPr>
        <w:pStyle w:val="Compact"/>
        <w:numPr>
          <w:ilvl w:val="0"/>
          <w:numId w:val="1001"/>
        </w:numPr>
      </w:pPr>
      <w:r>
        <w:t xml:space="preserve">Terms define “Customer Consent” as consent to access information from telecoms, school-fees aggregators, credit reference bureaus, financial institutions, and government/IT repositories.</w:t>
      </w:r>
      <w:r>
        <w:t xml:space="preserve"> </w:t>
      </w:r>
      <w:hyperlink r:id="rId22">
        <w:r>
          <w:rPr>
            <w:rStyle w:val="Hyperlink"/>
          </w:rPr>
          <w:t xml:space="preserve">[43]</w:t>
        </w:r>
      </w:hyperlink>
    </w:p>
    <w:p>
      <w:pPr>
        <w:pStyle w:val="Compact"/>
        <w:numPr>
          <w:ilvl w:val="0"/>
          <w:numId w:val="1001"/>
        </w:numPr>
      </w:pPr>
      <w:r>
        <w:t xml:space="preserve">The privacy policy explicitly lists credit-bureau checks, credit scoring, and sanctions screening as processing purposes, and mentions profiling/automated decisions with a right to discuss automated decisions.</w:t>
      </w:r>
      <w:r>
        <w:t xml:space="preserve"> </w:t>
      </w:r>
      <w:hyperlink r:id="rId43">
        <w:r>
          <w:rPr>
            <w:rStyle w:val="Hyperlink"/>
          </w:rPr>
          <w:t xml:space="preserve">[44]</w:t>
        </w:r>
      </w:hyperlink>
    </w:p>
    <w:p>
      <w:pPr>
        <w:pStyle w:val="Compact"/>
        <w:numPr>
          <w:ilvl w:val="0"/>
          <w:numId w:val="1001"/>
        </w:numPr>
      </w:pPr>
      <w:r>
        <w:t xml:space="preserve">Product marketing states (with consent) third-party data from telcos, CRBs, and school-fees aggregators is used for verification and “credit decisioning.”</w:t>
      </w:r>
      <w:r>
        <w:t xml:space="preserve"> </w:t>
      </w:r>
      <w:hyperlink r:id="rId34">
        <w:r>
          <w:rPr>
            <w:rStyle w:val="Hyperlink"/>
          </w:rPr>
          <w:t xml:space="preserve">[45]</w:t>
        </w:r>
      </w:hyperlink>
    </w:p>
    <w:p>
      <w:pPr>
        <w:pStyle w:val="Compact"/>
        <w:numPr>
          <w:ilvl w:val="0"/>
          <w:numId w:val="1001"/>
        </w:numPr>
      </w:pPr>
      <w:r>
        <w:t xml:space="preserve">SC Ventures’ release describes an education-financing data ecosystem “for credit scoring” enabling commercial banks to channel credit, and references AI-driven alternate lending capabilities from the technology partnership.</w:t>
      </w:r>
      <w:r>
        <w:t xml:space="preserve"> </w:t>
      </w:r>
      <w:hyperlink r:id="rId38">
        <w:r>
          <w:rPr>
            <w:rStyle w:val="Hyperlink"/>
          </w:rPr>
          <w:t xml:space="preserve">[26]</w:t>
        </w:r>
      </w:hyperlink>
    </w:p>
    <w:p>
      <w:pPr>
        <w:pStyle w:val="Compact"/>
        <w:numPr>
          <w:ilvl w:val="0"/>
          <w:numId w:val="1001"/>
        </w:numPr>
      </w:pPr>
      <w:r>
        <w:t xml:space="preserve">Tech Mahindra’s disclosure describes proprietary AI/ML models used to underwrite underserved segments (as part of the Yabx relationship).</w:t>
      </w:r>
      <w:r>
        <w:t xml:space="preserve"> </w:t>
      </w:r>
      <w:hyperlink r:id="rId36">
        <w:r>
          <w:rPr>
            <w:rStyle w:val="Hyperlink"/>
          </w:rPr>
          <w:t xml:space="preserve">[21]</w:t>
        </w:r>
      </w:hyperlink>
    </w:p>
    <w:p>
      <w:pPr>
        <w:pStyle w:val="FirstParagraph"/>
      </w:pPr>
      <w:r>
        <w:rPr>
          <w:b/>
          <w:bCs/>
        </w:rPr>
        <w:t xml:space="preserve">Repayment methods and enforcement (Uganda product).</w:t>
      </w:r>
      <w:r>
        <w:br/>
      </w:r>
      <w:r>
        <w:t xml:space="preserve">The Terms &amp; Conditions specify that customers irrevocably instruct the platform to recover principal, interest, and fees from the customer’s mobile wallet and permit automatic debiting of wallet credits until the facility is cleared; available wallet funds are applied first to interest/fees, then principal.</w:t>
      </w:r>
      <w:r>
        <w:t xml:space="preserve"> </w:t>
      </w:r>
      <w:hyperlink r:id="rId22">
        <w:r>
          <w:rPr>
            <w:rStyle w:val="Hyperlink"/>
          </w:rPr>
          <w:t xml:space="preserve">[43]</w:t>
        </w:r>
      </w:hyperlink>
      <w:r>
        <w:t xml:space="preserve"> </w:t>
      </w:r>
      <w:r>
        <w:t xml:space="preserve">The FAQ states repayments are made from the borrower’s own mobile wallet and that if repayment is not made by due date, the due amount will be debited; it also describes weekly or monthly repayment options and confirms a 2.5% penalty on overdue amounts.</w:t>
      </w:r>
      <w:r>
        <w:t xml:space="preserve"> </w:t>
      </w:r>
      <w:hyperlink r:id="rId24">
        <w:r>
          <w:rPr>
            <w:rStyle w:val="Hyperlink"/>
          </w:rPr>
          <w:t xml:space="preserve">[5]</w:t>
        </w:r>
      </w:hyperlink>
    </w:p>
    <w:bookmarkStart w:id="44" w:name="Xb241aa797d26a459fde02ffcbfbc51085513618"/>
    <w:p>
      <w:pPr>
        <w:pStyle w:val="Heading3"/>
      </w:pPr>
      <w:r>
        <w:t xml:space="preserve">Application-to-disbursement flowchart (Uganda school-fees loan)</w:t>
      </w:r>
    </w:p>
    <w:p>
      <w:pPr>
        <w:pStyle w:val="SourceCode"/>
      </w:pPr>
      <w:r>
        <w:rPr>
          <w:rStyle w:val="VerbatimChar"/>
        </w:rPr>
        <w:t xml:space="preserve">flowchart TD</w:t>
      </w:r>
      <w:r>
        <w:br/>
      </w:r>
      <w:r>
        <w:rPr>
          <w:rStyle w:val="VerbatimChar"/>
        </w:rPr>
        <w:t xml:space="preserve">    A[Download app / Access via USSD] --&gt; B[Register mobile number + OTP]</w:t>
      </w:r>
      <w:r>
        <w:br/>
      </w:r>
      <w:r>
        <w:rPr>
          <w:rStyle w:val="VerbatimChar"/>
        </w:rPr>
        <w:t xml:space="preserve">    B --&gt; C[Submit KYC: NIN + scan ID + live selfie]</w:t>
      </w:r>
      <w:r>
        <w:br/>
      </w:r>
      <w:r>
        <w:rPr>
          <w:rStyle w:val="VerbatimChar"/>
        </w:rPr>
        <w:t xml:space="preserve">    C --&gt; D[Consent to data access: telco + school aggregator + credit bureau]</w:t>
      </w:r>
      <w:r>
        <w:br/>
      </w:r>
      <w:r>
        <w:rPr>
          <w:rStyle w:val="VerbatimChar"/>
        </w:rPr>
        <w:t xml:space="preserve">    D --&gt; E[Enter school/aggregator details + student number]</w:t>
      </w:r>
      <w:r>
        <w:br/>
      </w:r>
      <w:r>
        <w:rPr>
          <w:rStyle w:val="VerbatimChar"/>
        </w:rPr>
        <w:t xml:space="preserve">    E --&gt; F[System retrieves/validates fees balance (if available)]</w:t>
      </w:r>
      <w:r>
        <w:br/>
      </w:r>
      <w:r>
        <w:rPr>
          <w:rStyle w:val="VerbatimChar"/>
        </w:rPr>
        <w:t xml:space="preserve">    F --&gt; G[Real-time capability assessment + loan limit shown]</w:t>
      </w:r>
      <w:r>
        <w:br/>
      </w:r>
      <w:r>
        <w:rPr>
          <w:rStyle w:val="VerbatimChar"/>
        </w:rPr>
        <w:t xml:space="preserve">    G --&gt; H[Choose amount (&lt;= eligible) + select weekly/monthly plan]</w:t>
      </w:r>
      <w:r>
        <w:br/>
      </w:r>
      <w:r>
        <w:rPr>
          <w:rStyle w:val="VerbatimChar"/>
        </w:rPr>
        <w:t xml:space="preserve">    H --&gt; I[Accept terms + confirm]</w:t>
      </w:r>
      <w:r>
        <w:br/>
      </w:r>
      <w:r>
        <w:rPr>
          <w:rStyle w:val="VerbatimChar"/>
        </w:rPr>
        <w:t xml:space="preserve">    I --&gt; J{Approved?}</w:t>
      </w:r>
      <w:r>
        <w:br/>
      </w:r>
      <w:r>
        <w:rPr>
          <w:rStyle w:val="VerbatimChar"/>
        </w:rPr>
        <w:t xml:space="preserve">    J -- No --&gt; K[Decline reason shown; reapply after fixing issue]</w:t>
      </w:r>
      <w:r>
        <w:br/>
      </w:r>
      <w:r>
        <w:rPr>
          <w:rStyle w:val="VerbatimChar"/>
        </w:rPr>
        <w:t xml:space="preserve">    J -- Yes --&gt; L[Loan disbursed directly to school]</w:t>
      </w:r>
      <w:r>
        <w:br/>
      </w:r>
      <w:r>
        <w:rPr>
          <w:rStyle w:val="VerbatimChar"/>
        </w:rPr>
        <w:t xml:space="preserve">    L --&gt; M[Repay via mobile wallet (weekly/monthly)]</w:t>
      </w:r>
      <w:r>
        <w:br/>
      </w:r>
      <w:r>
        <w:rPr>
          <w:rStyle w:val="VerbatimChar"/>
        </w:rPr>
        <w:t xml:space="preserve">    M --&gt; N{Overdue?}</w:t>
      </w:r>
      <w:r>
        <w:br/>
      </w:r>
      <w:r>
        <w:rPr>
          <w:rStyle w:val="VerbatimChar"/>
        </w:rPr>
        <w:t xml:space="preserve">    N -- No --&gt; O[Loan closes; statement available]</w:t>
      </w:r>
      <w:r>
        <w:br/>
      </w:r>
      <w:r>
        <w:rPr>
          <w:rStyle w:val="VerbatimChar"/>
        </w:rPr>
        <w:t xml:space="preserve">    N -- Yes --&gt; P[Late penalty + auto-debit from wallet per terms]</w:t>
      </w:r>
    </w:p>
    <w:p>
      <w:pPr>
        <w:pStyle w:val="FirstParagraph"/>
      </w:pPr>
      <w:r>
        <w:t xml:space="preserve">The “real-time” decisioning claim and direct-to-school disbursement are explicitly described in the FAQ and DTB-related reporting.</w:t>
      </w:r>
      <w:r>
        <w:t xml:space="preserve"> </w:t>
      </w:r>
      <w:hyperlink r:id="rId24">
        <w:r>
          <w:rPr>
            <w:rStyle w:val="Hyperlink"/>
          </w:rPr>
          <w:t xml:space="preserve">[46]</w:t>
        </w:r>
      </w:hyperlink>
    </w:p>
    <w:bookmarkEnd w:id="44"/>
    <w:bookmarkEnd w:id="45"/>
    <w:bookmarkStart w:id="49" w:name="X1510cec3bb9fda9ce8fb8d9488aae2c78f9a4dc"/>
    <w:p>
      <w:pPr>
        <w:pStyle w:val="Heading2"/>
      </w:pPr>
      <w:r>
        <w:t xml:space="preserve">Regulatory compliance, consumer protections, and data/privacy practices</w:t>
      </w:r>
    </w:p>
    <w:p>
      <w:pPr>
        <w:pStyle w:val="FirstParagraph"/>
      </w:pPr>
      <w:r>
        <w:rPr>
          <w:b/>
          <w:bCs/>
        </w:rPr>
        <w:t xml:space="preserve">Uganda: regulatory posture (as stated by Furaha).</w:t>
      </w:r>
      <w:r>
        <w:br/>
      </w:r>
      <w:r>
        <w:t xml:space="preserve">Furaha’s published statements position the company as</w:t>
      </w:r>
      <w:r>
        <w:t xml:space="preserve"> </w:t>
      </w:r>
      <w:r>
        <w:rPr>
          <w:b/>
          <w:bCs/>
        </w:rPr>
        <w:t xml:space="preserve">not the lender</w:t>
      </w:r>
      <w:r>
        <w:t xml:space="preserve">: it “acts as a software-based intermediary platform” and “does not provide loans or credit directly.”</w:t>
      </w:r>
      <w:r>
        <w:t xml:space="preserve"> </w:t>
      </w:r>
      <w:hyperlink r:id="rId21">
        <w:r>
          <w:rPr>
            <w:rStyle w:val="Hyperlink"/>
          </w:rPr>
          <w:t xml:space="preserve">[29]</w:t>
        </w:r>
      </w:hyperlink>
      <w:r>
        <w:t xml:space="preserve"> </w:t>
      </w:r>
      <w:r>
        <w:t xml:space="preserve">The app-store description says Furaha partners with</w:t>
      </w:r>
      <w:r>
        <w:t xml:space="preserve"> </w:t>
      </w:r>
      <w:r>
        <w:rPr>
          <w:b/>
          <w:bCs/>
        </w:rPr>
        <w:t xml:space="preserve">licensed commercial banks in Uganda</w:t>
      </w:r>
      <w:r>
        <w:t xml:space="preserve"> </w:t>
      </w:r>
      <w:r>
        <w:t xml:space="preserve">to facilitate direct lending, and the Terms define “Lender” as a company licensed to conduct financial-institutions business, referencing Bank of Uganda</w:t>
      </w:r>
      <w:hyperlink r:id="rId23">
        <w:r>
          <w:rPr>
            <w:rStyle w:val="Hyperlink"/>
          </w:rPr>
          <w:t xml:space="preserve">[47]</w:t>
        </w:r>
      </w:hyperlink>
      <w:r>
        <w:t xml:space="preserve"> </w:t>
      </w:r>
      <w:r>
        <w:t xml:space="preserve">as the “Central Bank.”</w:t>
      </w:r>
      <w:r>
        <w:t xml:space="preserve"> </w:t>
      </w:r>
      <w:hyperlink r:id="rId23">
        <w:r>
          <w:rPr>
            <w:rStyle w:val="Hyperlink"/>
          </w:rPr>
          <w:t xml:space="preserve">[48]</w:t>
        </w:r>
      </w:hyperlink>
      <w:r>
        <w:t xml:space="preserve"> </w:t>
      </w:r>
      <w:r>
        <w:t xml:space="preserve">Practically, this means borrower protection and prudential supervision for the credit itself should primarily attach to the</w:t>
      </w:r>
      <w:r>
        <w:t xml:space="preserve"> </w:t>
      </w:r>
      <w:r>
        <w:rPr>
          <w:b/>
          <w:bCs/>
        </w:rPr>
        <w:t xml:space="preserve">bank-originated loan</w:t>
      </w:r>
      <w:r>
        <w:t xml:space="preserve"> </w:t>
      </w:r>
      <w:r>
        <w:t xml:space="preserve">and applicable Uganda banking and credit-reporting rules (as reflected by embedded references to credit reference bureaus in the Terms).</w:t>
      </w:r>
      <w:r>
        <w:t xml:space="preserve"> </w:t>
      </w:r>
      <w:hyperlink r:id="rId22">
        <w:r>
          <w:rPr>
            <w:rStyle w:val="Hyperlink"/>
          </w:rPr>
          <w:t xml:space="preserve">[43]</w:t>
        </w:r>
      </w:hyperlink>
    </w:p>
    <w:p>
      <w:pPr>
        <w:pStyle w:val="BodyText"/>
      </w:pPr>
      <w:r>
        <w:rPr>
          <w:b/>
          <w:bCs/>
        </w:rPr>
        <w:t xml:space="preserve">Uganda: consumer protection commitments in the platform terms.</w:t>
      </w:r>
      <w:r>
        <w:br/>
      </w:r>
      <w:r>
        <w:t xml:space="preserve">Furaha’s Terms set a complaint-handling standard: acknowledge complaints within</w:t>
      </w:r>
      <w:r>
        <w:t xml:space="preserve"> </w:t>
      </w:r>
      <w:r>
        <w:rPr>
          <w:b/>
          <w:bCs/>
        </w:rPr>
        <w:t xml:space="preserve">48 hours</w:t>
      </w:r>
      <w:r>
        <w:t xml:space="preserve"> </w:t>
      </w:r>
      <w:r>
        <w:t xml:space="preserve">and resolve within</w:t>
      </w:r>
      <w:r>
        <w:t xml:space="preserve"> </w:t>
      </w:r>
      <w:r>
        <w:rPr>
          <w:b/>
          <w:bCs/>
        </w:rPr>
        <w:t xml:space="preserve">14 working days</w:t>
      </w:r>
      <w:r>
        <w:t xml:space="preserve">, with weekly updates if not resolved in time; disputes not resolved are referred to competent Ugandan courts.</w:t>
      </w:r>
      <w:r>
        <w:t xml:space="preserve"> </w:t>
      </w:r>
      <w:hyperlink r:id="rId22">
        <w:r>
          <w:rPr>
            <w:rStyle w:val="Hyperlink"/>
          </w:rPr>
          <w:t xml:space="preserve">[49]</w:t>
        </w:r>
      </w:hyperlink>
      <w:r>
        <w:t xml:space="preserve"> </w:t>
      </w:r>
      <w:r>
        <w:t xml:space="preserve">The Terms also include platform security obligations (PIN secrecy, notification of compromise) and allow call recording subject to applicable law.</w:t>
      </w:r>
      <w:r>
        <w:t xml:space="preserve"> </w:t>
      </w:r>
      <w:hyperlink r:id="rId22">
        <w:r>
          <w:rPr>
            <w:rStyle w:val="Hyperlink"/>
          </w:rPr>
          <w:t xml:space="preserve">[43]</w:t>
        </w:r>
      </w:hyperlink>
    </w:p>
    <w:p>
      <w:pPr>
        <w:pStyle w:val="BodyText"/>
      </w:pPr>
      <w:r>
        <w:rPr>
          <w:b/>
          <w:bCs/>
        </w:rPr>
        <w:t xml:space="preserve">Uganda: data collection, sharing, retention, and profiling.</w:t>
      </w:r>
      <w:r>
        <w:br/>
      </w:r>
      <w:r>
        <w:t xml:space="preserve">The privacy policy (Jan 19, 2024) is explicit that Personal Data Protection Office</w:t>
      </w:r>
      <w:hyperlink r:id="rId22">
        <w:r>
          <w:rPr>
            <w:rStyle w:val="Hyperlink"/>
          </w:rPr>
          <w:t xml:space="preserve">[50]</w:t>
        </w:r>
      </w:hyperlink>
      <w:r>
        <w:t xml:space="preserve"> </w:t>
      </w:r>
      <w:r>
        <w:t xml:space="preserve">registration exists (PDPO-202401-2856) and that the company collects personal identifiers (including NIN), device identifiers, location data, and third-party data from government agencies, credit reference agencies, and mobile network providers.</w:t>
      </w:r>
      <w:r>
        <w:t xml:space="preserve"> </w:t>
      </w:r>
      <w:hyperlink r:id="rId43">
        <w:r>
          <w:rPr>
            <w:rStyle w:val="Hyperlink"/>
          </w:rPr>
          <w:t xml:space="preserve">[51]</w:t>
        </w:r>
      </w:hyperlink>
      <w:r>
        <w:t xml:space="preserve"> </w:t>
      </w:r>
      <w:r>
        <w:t xml:space="preserve">It lists broad sharing categories (including financial institutions, credit bureaus, debt collectors, telecom providers, and school aggregators), including cross-border transfers where necessary, and states a common retention period of</w:t>
      </w:r>
      <w:r>
        <w:t xml:space="preserve"> </w:t>
      </w:r>
      <w:r>
        <w:rPr>
          <w:b/>
          <w:bCs/>
        </w:rPr>
        <w:t xml:space="preserve">ten years</w:t>
      </w:r>
      <w:r>
        <w:t xml:space="preserve"> </w:t>
      </w:r>
      <w:r>
        <w:t xml:space="preserve">from the end of the relationship.</w:t>
      </w:r>
      <w:r>
        <w:t xml:space="preserve"> </w:t>
      </w:r>
      <w:hyperlink r:id="rId43">
        <w:r>
          <w:rPr>
            <w:rStyle w:val="Hyperlink"/>
          </w:rPr>
          <w:t xml:space="preserve">[44]</w:t>
        </w:r>
      </w:hyperlink>
      <w:r>
        <w:t xml:space="preserve"> </w:t>
      </w:r>
      <w:r>
        <w:t xml:space="preserve">It also describes profiling for fraud/financial crime prevention and indicates that if profiling results in an automated decision, users will be informed and can discuss the decision.</w:t>
      </w:r>
      <w:r>
        <w:t xml:space="preserve"> </w:t>
      </w:r>
      <w:hyperlink r:id="rId43">
        <w:r>
          <w:rPr>
            <w:rStyle w:val="Hyperlink"/>
          </w:rPr>
          <w:t xml:space="preserve">[44]</w:t>
        </w:r>
      </w:hyperlink>
    </w:p>
    <w:p>
      <w:pPr>
        <w:pStyle w:val="BodyText"/>
      </w:pPr>
      <w:r>
        <w:rPr>
          <w:b/>
          <w:bCs/>
        </w:rPr>
        <w:t xml:space="preserve">Tanzania: licensing and consumer-protection framework for digital lenders (regulator primary sources).</w:t>
      </w:r>
      <w:r>
        <w:br/>
      </w:r>
      <w:r>
        <w:t xml:space="preserve">For Tanzania, the central-bank position is clear: a public notice from Bank of Tanzania</w:t>
      </w:r>
      <w:hyperlink r:id="rId23">
        <w:r>
          <w:rPr>
            <w:rStyle w:val="Hyperlink"/>
          </w:rPr>
          <w:t xml:space="preserve">[11]</w:t>
        </w:r>
      </w:hyperlink>
      <w:r>
        <w:t xml:space="preserve"> </w:t>
      </w:r>
      <w:r>
        <w:t xml:space="preserve">states it is an offence to engage in lending without a valid license and explicitly includes</w:t>
      </w:r>
      <w:r>
        <w:t xml:space="preserve"> </w:t>
      </w:r>
      <w:r>
        <w:rPr>
          <w:b/>
          <w:bCs/>
        </w:rPr>
        <w:t xml:space="preserve">digital loans</w:t>
      </w:r>
      <w:r>
        <w:t xml:space="preserve">; the notice urges the public to confirm a lender has a valid license and to carefully review loan terms and obtain signed loan contracts.</w:t>
      </w:r>
      <w:r>
        <w:t xml:space="preserve"> </w:t>
      </w:r>
      <w:hyperlink r:id="rId29">
        <w:r>
          <w:rPr>
            <w:rStyle w:val="Hyperlink"/>
          </w:rPr>
          <w:t xml:space="preserve">[52]</w:t>
        </w:r>
      </w:hyperlink>
      <w:r>
        <w:t xml:space="preserve"> </w:t>
      </w:r>
      <w:r>
        <w:t xml:space="preserve">A Bank of Tanzania “Guidance Note on Digital Lenders under Tier 2 Microfinance Service Providers, 2024” defines digital lenders as microfinance providers conducting the full loan lifecycle via digital channels and sets minimum criteria including being licensed as a Tier 2 microfinance service provider and being compliant with Tanzania’s Personal Data Protection Act.</w:t>
      </w:r>
      <w:r>
        <w:t xml:space="preserve"> </w:t>
      </w:r>
      <w:hyperlink r:id="rId46">
        <w:r>
          <w:rPr>
            <w:rStyle w:val="Hyperlink"/>
          </w:rPr>
          <w:t xml:space="preserve">[53]</w:t>
        </w:r>
      </w:hyperlink>
      <w:r>
        <w:t xml:space="preserve"> </w:t>
      </w:r>
      <w:r>
        <w:t xml:space="preserve">The guidance note also highlights the sector risks it aims to address (e.g., excessive fees/interest, abusive recovery, data privacy issues, and harassment).</w:t>
      </w:r>
      <w:r>
        <w:t xml:space="preserve"> </w:t>
      </w:r>
      <w:hyperlink r:id="rId46">
        <w:r>
          <w:rPr>
            <w:rStyle w:val="Hyperlink"/>
          </w:rPr>
          <w:t xml:space="preserve">[53]</w:t>
        </w:r>
      </w:hyperlink>
    </w:p>
    <w:p>
      <w:pPr>
        <w:pStyle w:val="BodyText"/>
      </w:pPr>
      <w:r>
        <w:rPr>
          <w:b/>
          <w:bCs/>
        </w:rPr>
        <w:t xml:space="preserve">Kenya: licensing and data-protection framework for digital credit providers (primary sources).</w:t>
      </w:r>
      <w:r>
        <w:br/>
      </w:r>
      <w:r>
        <w:t xml:space="preserve">Kenya’s central bank states that the “Digital Credit Providers Regulations, 2022” are operational and provide for licensing and oversight of previously unregulated digital credit providers.</w:t>
      </w:r>
      <w:r>
        <w:t xml:space="preserve"> </w:t>
      </w:r>
      <w:hyperlink r:id="rId47">
        <w:r>
          <w:rPr>
            <w:rStyle w:val="Hyperlink"/>
          </w:rPr>
          <w:t xml:space="preserve">[54]</w:t>
        </w:r>
      </w:hyperlink>
      <w:r>
        <w:t xml:space="preserve"> </w:t>
      </w:r>
      <w:r>
        <w:t xml:space="preserve">The legal text of the Regulations (published on Kenya Law) prohibits carrying on digital credit business without a license and details application materials including AML/CFT policies,</w:t>
      </w:r>
      <w:r>
        <w:t xml:space="preserve"> </w:t>
      </w:r>
      <w:r>
        <w:rPr>
          <w:b/>
          <w:bCs/>
        </w:rPr>
        <w:t xml:space="preserve">data protection policies</w:t>
      </w:r>
      <w:r>
        <w:t xml:space="preserve">, and consumer redress mechanisms.</w:t>
      </w:r>
      <w:r>
        <w:t xml:space="preserve"> </w:t>
      </w:r>
      <w:hyperlink r:id="rId48">
        <w:r>
          <w:rPr>
            <w:rStyle w:val="Hyperlink"/>
          </w:rPr>
          <w:t xml:space="preserve">[55]</w:t>
        </w:r>
      </w:hyperlink>
      <w:r>
        <w:t xml:space="preserve"> </w:t>
      </w:r>
      <w:r>
        <w:t xml:space="preserve">For privacy governance, Kenya’s regulator-facing portal for the Office of the Data Protection Commissioner</w:t>
      </w:r>
      <w:hyperlink r:id="rId22">
        <w:r>
          <w:rPr>
            <w:rStyle w:val="Hyperlink"/>
          </w:rPr>
          <w:t xml:space="preserve">[56]</w:t>
        </w:r>
      </w:hyperlink>
      <w:r>
        <w:t xml:space="preserve"> </w:t>
      </w:r>
      <w:r>
        <w:t xml:space="preserve">provides mechanisms to register as data controller/processor, report breaches, and file complaints.</w:t>
      </w:r>
      <w:r>
        <w:t xml:space="preserve"> </w:t>
      </w:r>
      <w:hyperlink r:id="rId25">
        <w:r>
          <w:rPr>
            <w:rStyle w:val="Hyperlink"/>
          </w:rPr>
          <w:t xml:space="preserve">[57]</w:t>
        </w:r>
      </w:hyperlink>
    </w:p>
    <w:bookmarkEnd w:id="49"/>
    <w:bookmarkStart w:id="55" w:name="X6623e9cac9c3056449d0d1777a21b0a3d067aa7"/>
    <w:p>
      <w:pPr>
        <w:pStyle w:val="Heading2"/>
      </w:pPr>
      <w:r>
        <w:t xml:space="preserve">Market positioning, competitor comparison, reputation signals, borrower risk assessment, and next steps</w:t>
      </w:r>
    </w:p>
    <w:p>
      <w:pPr>
        <w:pStyle w:val="FirstParagraph"/>
      </w:pPr>
      <w:r>
        <w:rPr>
          <w:b/>
          <w:bCs/>
        </w:rPr>
        <w:t xml:space="preserve">Positioning and target segments (Uganda product).</w:t>
      </w:r>
      <w:r>
        <w:br/>
      </w:r>
      <w:r>
        <w:t xml:space="preserve">Furaha’s app-store description frames the product as serving the “missing middle” with the objective of smoothing school-fee payments across a term, while keeping children in school through direct-to-school disbursement.</w:t>
      </w:r>
      <w:r>
        <w:t xml:space="preserve"> </w:t>
      </w:r>
      <w:hyperlink r:id="rId23">
        <w:r>
          <w:rPr>
            <w:rStyle w:val="Hyperlink"/>
          </w:rPr>
          <w:t xml:space="preserve">[58]</w:t>
        </w:r>
      </w:hyperlink>
      <w:r>
        <w:t xml:space="preserve"> </w:t>
      </w:r>
      <w:r>
        <w:t xml:space="preserve">SC Ventures’ release adds a targeting narrative around parents with monthly incomes under $500 and emphasizes the role of bank partnerships and alternative-data credit scoring to reduce delivery costs.</w:t>
      </w:r>
      <w:r>
        <w:t xml:space="preserve"> </w:t>
      </w:r>
      <w:hyperlink r:id="rId38">
        <w:r>
          <w:rPr>
            <w:rStyle w:val="Hyperlink"/>
          </w:rPr>
          <w:t xml:space="preserve">[26]</w:t>
        </w:r>
      </w:hyperlink>
    </w:p>
    <w:p>
      <w:pPr>
        <w:pStyle w:val="BodyText"/>
      </w:pPr>
      <w:r>
        <w:rPr>
          <w:b/>
          <w:bCs/>
        </w:rPr>
        <w:t xml:space="preserve">Competitors and alternatives (Uganda, evidence-based).</w:t>
      </w:r>
      <w:r>
        <w:br/>
      </w:r>
      <w:r>
        <w:t xml:space="preserve">A direct comparator is conventional bank or microfinance “school fees loans” that typically require collateral and have longer tenors. For instance, Opportunity Bank Uganda</w:t>
      </w:r>
      <w:hyperlink r:id="rId46">
        <w:r>
          <w:rPr>
            <w:rStyle w:val="Hyperlink"/>
          </w:rPr>
          <w:t xml:space="preserve">[59]</w:t>
        </w:r>
      </w:hyperlink>
      <w:r>
        <w:t xml:space="preserve"> </w:t>
      </w:r>
      <w:r>
        <w:t xml:space="preserve">publishes an “Individual School Fees Loan” with UGX 100,000–UGX 5,000,000, 3–12 month duration, weekly repayment frequency, and flexible collateral types (land titles, vehicle logbooks, guarantors, etc.), alongside a 3.3% processing fee and other charges (interest rate expressed as “reducing balance,” but a specific rate not shown on that page).</w:t>
      </w:r>
      <w:r>
        <w:t xml:space="preserve"> </w:t>
      </w:r>
      <w:hyperlink r:id="rId32">
        <w:r>
          <w:rPr>
            <w:rStyle w:val="Hyperlink"/>
          </w:rPr>
          <w:t xml:space="preserve">[60]</w:t>
        </w:r>
      </w:hyperlink>
      <w:r>
        <w:t xml:space="preserve"> </w:t>
      </w:r>
      <w:r>
        <w:t xml:space="preserve">Another competing structure appears in Finance Trust Bank</w:t>
      </w:r>
      <w:hyperlink r:id="rId43">
        <w:r>
          <w:rPr>
            <w:rStyle w:val="Hyperlink"/>
          </w:rPr>
          <w:t xml:space="preserve">[61]</w:t>
        </w:r>
      </w:hyperlink>
      <w:r>
        <w:t xml:space="preserve">’s tariff guide, which lists a school fees loan with processing and arrangement fees and a “30% flat” rate (time basis not specified in the excerpted tariff).</w:t>
      </w:r>
      <w:r>
        <w:t xml:space="preserve"> </w:t>
      </w:r>
      <w:hyperlink r:id="rId37">
        <w:r>
          <w:rPr>
            <w:rStyle w:val="Hyperlink"/>
          </w:rPr>
          <w:t xml:space="preserve">[62]</w:t>
        </w:r>
      </w:hyperlink>
    </w:p>
    <w:bookmarkStart w:id="52" w:name="pricing-comparison-table-uganda"/>
    <w:p>
      <w:pPr>
        <w:pStyle w:val="Heading3"/>
      </w:pPr>
      <w:r>
        <w:t xml:space="preserve">Pricing comparison table (Uganda)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Provider/product</w:t>
            </w:r>
          </w:p>
        </w:tc>
        <w:tc>
          <w:tcPr/>
          <w:p>
            <w:pPr>
              <w:pStyle w:val="Compact"/>
            </w:pPr>
            <w:r>
              <w:t xml:space="preserve">Amount &amp; tenor (published)</w:t>
            </w:r>
          </w:p>
        </w:tc>
        <w:tc>
          <w:tcPr/>
          <w:p>
            <w:pPr>
              <w:pStyle w:val="Compact"/>
            </w:pPr>
            <w:r>
              <w:t xml:space="preserve">Pricing (published)</w:t>
            </w:r>
          </w:p>
        </w:tc>
        <w:tc>
          <w:tcPr/>
          <w:p>
            <w:pPr>
              <w:pStyle w:val="Compact"/>
            </w:pPr>
            <w:r>
              <w:t xml:space="preserve">Collateral/repayment approach</w:t>
            </w:r>
          </w:p>
        </w:tc>
        <w:tc>
          <w:tcPr/>
          <w:p>
            <w:pPr>
              <w:pStyle w:val="Compact"/>
            </w:pPr>
            <w:r>
              <w:t xml:space="preserve">Notes for borrowers</w:t>
            </w:r>
          </w:p>
        </w:tc>
      </w:tr>
      <w:tr>
        <w:tc>
          <w:tcPr/>
          <w:p>
            <w:pPr>
              <w:pStyle w:val="Compact"/>
            </w:pPr>
            <w:r>
              <w:t xml:space="preserve">Furaha Uganda school-fees loan (bank-partner originated via platform)</w:t>
            </w:r>
          </w:p>
        </w:tc>
        <w:tc>
          <w:tcPr/>
          <w:p>
            <w:pPr>
              <w:pStyle w:val="Compact"/>
            </w:pPr>
            <w:r>
              <w:t xml:space="preserve">UGX 200k–2M; fixed ~3 months</w:t>
            </w:r>
            <w:r>
              <w:t xml:space="preserve"> </w:t>
            </w:r>
            <w:hyperlink r:id="rId23">
              <w:r>
                <w:rPr>
                  <w:rStyle w:val="Hyperlink"/>
                </w:rPr>
                <w:t xml:space="preserve">[38]</w:t>
              </w:r>
            </w:hyperlink>
          </w:p>
        </w:tc>
        <w:tc>
          <w:tcPr/>
          <w:p>
            <w:pPr>
              <w:pStyle w:val="Compact"/>
            </w:pPr>
            <w:r>
              <w:t xml:space="preserve">5% per month; 3% fee; max APR 74%; late penalty 2.5% overdue</w:t>
            </w:r>
            <w:r>
              <w:t xml:space="preserve"> </w:t>
            </w:r>
            <w:hyperlink r:id="rId23">
              <w:r>
                <w:rPr>
                  <w:rStyle w:val="Hyperlink"/>
                </w:rPr>
                <w:t xml:space="preserve">[63]</w:t>
              </w:r>
            </w:hyperlink>
          </w:p>
        </w:tc>
        <w:tc>
          <w:tcPr/>
          <w:p>
            <w:pPr>
              <w:pStyle w:val="Compact"/>
            </w:pPr>
            <w:r>
              <w:t xml:space="preserve">No physical collateral stated; repayment via mobile wallet; auto-debit on due/overdue</w:t>
            </w:r>
            <w:r>
              <w:t xml:space="preserve"> </w:t>
            </w:r>
            <w:hyperlink r:id="rId22">
              <w:r>
                <w:rPr>
                  <w:rStyle w:val="Hyperlink"/>
                </w:rPr>
                <w:t xml:space="preserve">[40]</w:t>
              </w:r>
            </w:hyperlink>
          </w:p>
        </w:tc>
        <w:tc>
          <w:tcPr/>
          <w:p>
            <w:pPr>
              <w:pStyle w:val="Compact"/>
            </w:pPr>
            <w:r>
              <w:t xml:space="preserve">Advantages: speed + direct-to-school; Risks: high effective cost + forced debits + data sharing</w:t>
            </w:r>
          </w:p>
        </w:tc>
      </w:tr>
      <w:tr>
        <w:tc>
          <w:tcPr/>
          <w:p>
            <w:pPr>
              <w:pStyle w:val="Compact"/>
            </w:pPr>
            <w:r>
              <w:t xml:space="preserve">Opportunity Bank individual school fees loan</w:t>
            </w:r>
          </w:p>
        </w:tc>
        <w:tc>
          <w:tcPr/>
          <w:p>
            <w:pPr>
              <w:pStyle w:val="Compact"/>
            </w:pPr>
            <w:r>
              <w:t xml:space="preserve">UGX 100k–5M; 3–12 months</w:t>
            </w:r>
            <w:r>
              <w:t xml:space="preserve"> </w:t>
            </w:r>
            <w:hyperlink r:id="rId32">
              <w:r>
                <w:rPr>
                  <w:rStyle w:val="Hyperlink"/>
                </w:rPr>
                <w:t xml:space="preserve">[60]</w:t>
              </w:r>
            </w:hyperlink>
          </w:p>
        </w:tc>
        <w:tc>
          <w:tcPr/>
          <w:p>
            <w:pPr>
              <w:pStyle w:val="Compact"/>
            </w:pPr>
            <w:r>
              <w:t xml:space="preserve">Processing 3.3%; origination fee; interest method “reducing balance” (rate not specified on page)</w:t>
            </w:r>
            <w:r>
              <w:t xml:space="preserve"> </w:t>
            </w:r>
            <w:hyperlink r:id="rId32">
              <w:r>
                <w:rPr>
                  <w:rStyle w:val="Hyperlink"/>
                </w:rPr>
                <w:t xml:space="preserve">[60]</w:t>
              </w:r>
            </w:hyperlink>
          </w:p>
        </w:tc>
        <w:tc>
          <w:tcPr/>
          <w:p>
            <w:pPr>
              <w:pStyle w:val="Compact"/>
            </w:pPr>
            <w:r>
              <w:t xml:space="preserve">Explicit collateral options including land titles/logbooks/guarantors</w:t>
            </w:r>
            <w:r>
              <w:t xml:space="preserve"> </w:t>
            </w:r>
            <w:hyperlink r:id="rId32">
              <w:r>
                <w:rPr>
                  <w:rStyle w:val="Hyperlink"/>
                </w:rPr>
                <w:t xml:space="preserve">[60]</w:t>
              </w:r>
            </w:hyperlink>
          </w:p>
        </w:tc>
        <w:tc>
          <w:tcPr/>
          <w:p>
            <w:pPr>
              <w:pStyle w:val="Compact"/>
            </w:pPr>
            <w:r>
              <w:t xml:space="preserve">May suit larger borrowing needs but increases asset/guarantor risk and process friction</w:t>
            </w:r>
          </w:p>
        </w:tc>
      </w:tr>
      <w:tr>
        <w:tc>
          <w:tcPr/>
          <w:p>
            <w:pPr>
              <w:pStyle w:val="Compact"/>
            </w:pPr>
            <w:r>
              <w:t xml:space="preserve">Finance Trust Bank school fees loan (tariff guide listing)</w:t>
            </w:r>
          </w:p>
        </w:tc>
        <w:tc>
          <w:tcPr/>
          <w:p>
            <w:pPr>
              <w:pStyle w:val="Compact"/>
            </w:pPr>
            <w:r>
              <w:t xml:space="preserve">Tenor and amount unspecified in tariff excerpt</w:t>
            </w:r>
          </w:p>
        </w:tc>
        <w:tc>
          <w:tcPr/>
          <w:p>
            <w:pPr>
              <w:pStyle w:val="Compact"/>
            </w:pPr>
            <w:r>
              <w:t xml:space="preserve">“30% flat” shown; 2% processing + 2% arrangement fees</w:t>
            </w:r>
            <w:r>
              <w:t xml:space="preserve"> </w:t>
            </w:r>
            <w:hyperlink r:id="rId37">
              <w:r>
                <w:rPr>
                  <w:rStyle w:val="Hyperlink"/>
                </w:rPr>
                <w:t xml:space="preserve">[62]</w:t>
              </w:r>
            </w:hyperlink>
          </w:p>
        </w:tc>
        <w:tc>
          <w:tcPr/>
          <w:p>
            <w:pPr>
              <w:pStyle w:val="Compact"/>
            </w:pPr>
            <w:r>
              <w:t xml:space="preserve">Not specified in excerpt</w:t>
            </w:r>
          </w:p>
        </w:tc>
        <w:tc>
          <w:tcPr/>
          <w:p>
            <w:pPr>
              <w:pStyle w:val="Compact"/>
            </w:pPr>
            <w:r>
              <w:t xml:space="preserve">Borrowers must request full product sheet/loan agreement to interpret “flat” basis correctly</w:t>
            </w:r>
          </w:p>
        </w:tc>
      </w:tr>
    </w:tbl>
    <w:p>
      <w:pPr>
        <w:pStyle w:val="BodyText"/>
      </w:pPr>
      <w:r>
        <w:rPr>
          <w:b/>
          <w:bCs/>
        </w:rPr>
        <w:t xml:space="preserve">Reputational analysis: news and user feedback.</w:t>
      </w:r>
      <w:r>
        <w:br/>
      </w:r>
      <w:r>
        <w:t xml:space="preserve">Credible, independent Ugandan media report the DTB–Furaha partnership as a fully digital school-fees product with direct-to-school disbursement and simple registration (National ID), reflecting mainstream-bank participation and public launch communications.</w:t>
      </w:r>
      <w:r>
        <w:t xml:space="preserve"> </w:t>
      </w:r>
      <w:hyperlink r:id="rId39">
        <w:r>
          <w:rPr>
            <w:rStyle w:val="Hyperlink"/>
          </w:rPr>
          <w:t xml:space="preserve">[64]</w:t>
        </w:r>
      </w:hyperlink>
      <w:r>
        <w:t xml:space="preserve"> </w:t>
      </w:r>
      <w:r>
        <w:t xml:space="preserve">Partnership announcements with payments/aggregator rails (e.g., PegPay) also appear through partner channels, consistent with the platform’s “paid directly to schools” model.</w:t>
      </w:r>
      <w:r>
        <w:t xml:space="preserve"> </w:t>
      </w:r>
      <w:hyperlink r:id="rId50">
        <w:r>
          <w:rPr>
            <w:rStyle w:val="Hyperlink"/>
          </w:rPr>
          <w:t xml:space="preserve">[65]</w:t>
        </w:r>
      </w:hyperlink>
    </w:p>
    <w:p>
      <w:pPr>
        <w:pStyle w:val="BodyText"/>
      </w:pPr>
      <w:r>
        <w:t xml:space="preserve">User-review signals from the Apple App Store show a</w:t>
      </w:r>
      <w:r>
        <w:t xml:space="preserve"> </w:t>
      </w:r>
      <w:r>
        <w:rPr>
          <w:b/>
          <w:bCs/>
        </w:rPr>
        <w:t xml:space="preserve">4.5/5 rating based on 73 ratings</w:t>
      </w:r>
      <w:r>
        <w:t xml:space="preserve">, with review text skewing positive (e.g., “quick” and “reliable” school-fee help).</w:t>
      </w:r>
      <w:r>
        <w:t xml:space="preserve"> </w:t>
      </w:r>
      <w:hyperlink r:id="rId51">
        <w:r>
          <w:rPr>
            <w:rStyle w:val="Hyperlink"/>
          </w:rPr>
          <w:t xml:space="preserve">[66]</w:t>
        </w:r>
      </w:hyperlink>
      <w:r>
        <w:t xml:space="preserve"> </w:t>
      </w:r>
      <w:r>
        <w:t xml:space="preserve">This is not a comprehensive consumer-protection audit, but it is a tangible reputation datapoint from a controlled distribution channel.</w:t>
      </w:r>
    </w:p>
    <w:p>
      <w:pPr>
        <w:pStyle w:val="BodyText"/>
      </w:pPr>
      <w:r>
        <w:rPr>
          <w:b/>
          <w:bCs/>
        </w:rPr>
        <w:t xml:space="preserve">Material weaknesses and open questions (Uganda product).</w:t>
      </w:r>
      <w:r>
        <w:br/>
      </w:r>
      <w:r>
        <w:t xml:space="preserve">Several operational details remain uncertain or inconsistent in public pages:</w:t>
      </w:r>
    </w:p>
    <w:p>
      <w:pPr>
        <w:pStyle w:val="Compact"/>
        <w:numPr>
          <w:ilvl w:val="0"/>
          <w:numId w:val="1002"/>
        </w:numPr>
      </w:pPr>
      <w:r>
        <w:rPr>
          <w:b/>
          <w:bCs/>
        </w:rPr>
        <w:t xml:space="preserve">Max loan amount inconsistency</w:t>
      </w:r>
      <w:r>
        <w:t xml:space="preserve"> </w:t>
      </w:r>
      <w:r>
        <w:t xml:space="preserve">(2M vs 3.5M) across official pages.</w:t>
      </w:r>
      <w:r>
        <w:t xml:space="preserve"> </w:t>
      </w:r>
      <w:hyperlink r:id="rId27">
        <w:r>
          <w:rPr>
            <w:rStyle w:val="Hyperlink"/>
          </w:rPr>
          <w:t xml:space="preserve">[67]</w:t>
        </w:r>
      </w:hyperlink>
    </w:p>
    <w:p>
      <w:pPr>
        <w:pStyle w:val="Compact"/>
        <w:numPr>
          <w:ilvl w:val="0"/>
          <w:numId w:val="1002"/>
        </w:numPr>
      </w:pPr>
      <w:r>
        <w:rPr>
          <w:b/>
          <w:bCs/>
        </w:rPr>
        <w:t xml:space="preserve">Network/telecom eligibility drift</w:t>
      </w:r>
      <w:r>
        <w:t xml:space="preserve">: FAQs describe MTN-only enrollment at the time of writing, while app version notes suggest later expansion (e.g., Airtel support; “Surepay School Aggregator is now live” in version history).</w:t>
      </w:r>
      <w:r>
        <w:t xml:space="preserve"> </w:t>
      </w:r>
      <w:hyperlink r:id="rId24">
        <w:r>
          <w:rPr>
            <w:rStyle w:val="Hyperlink"/>
          </w:rPr>
          <w:t xml:space="preserve">[5]</w:t>
        </w:r>
      </w:hyperlink>
    </w:p>
    <w:p>
      <w:pPr>
        <w:pStyle w:val="Compact"/>
        <w:numPr>
          <w:ilvl w:val="0"/>
          <w:numId w:val="1002"/>
        </w:numPr>
      </w:pPr>
      <w:r>
        <w:rPr>
          <w:b/>
          <w:bCs/>
        </w:rPr>
        <w:t xml:space="preserve">Bank-partner identity at point of loan</w:t>
      </w:r>
      <w:r>
        <w:t xml:space="preserve">: the platform facilitates loan selection among partner banks, so borrowers must confirm which bank is originator for their loan and obtain the specific bank loan agreement.</w:t>
      </w:r>
      <w:r>
        <w:t xml:space="preserve"> </w:t>
      </w:r>
      <w:hyperlink r:id="rId23">
        <w:r>
          <w:rPr>
            <w:rStyle w:val="Hyperlink"/>
          </w:rPr>
          <w:t xml:space="preserve">[48]</w:t>
        </w:r>
      </w:hyperlink>
    </w:p>
    <w:bookmarkEnd w:id="52"/>
    <w:bookmarkStart w:id="53" w:name="borrower-risk-assessment"/>
    <w:p>
      <w:pPr>
        <w:pStyle w:val="Heading3"/>
      </w:pPr>
      <w:r>
        <w:t xml:space="preserve">Borrower risk assessment</w:t>
      </w:r>
    </w:p>
    <w:p>
      <w:pPr>
        <w:pStyle w:val="FirstParagraph"/>
      </w:pPr>
      <w:r>
        <w:rPr>
          <w:b/>
          <w:bCs/>
        </w:rPr>
        <w:t xml:space="preserve">Cost and affordability risk (Medium → High).</w:t>
      </w:r>
      <w:r>
        <w:br/>
      </w:r>
      <w:r>
        <w:t xml:space="preserve">The published pricing (5% per month + 3% fee, max APR 74%) is expensive relative to many mainstream bank loans, even when justified as short-term digital credit.</w:t>
      </w:r>
      <w:r>
        <w:t xml:space="preserve"> </w:t>
      </w:r>
      <w:hyperlink r:id="rId23">
        <w:r>
          <w:rPr>
            <w:rStyle w:val="Hyperlink"/>
          </w:rPr>
          <w:t xml:space="preserve">[68]</w:t>
        </w:r>
      </w:hyperlink>
      <w:r>
        <w:t xml:space="preserve"> </w:t>
      </w:r>
      <w:r>
        <w:t xml:space="preserve">Borrowers who miss repayment dates face extra penalties, and the auto-debit structure can cause cascading liquidity stress (especially where salary/mobile-money inflows are irregular).</w:t>
      </w:r>
      <w:r>
        <w:t xml:space="preserve"> </w:t>
      </w:r>
      <w:hyperlink r:id="rId24">
        <w:r>
          <w:rPr>
            <w:rStyle w:val="Hyperlink"/>
          </w:rPr>
          <w:t xml:space="preserve">[69]</w:t>
        </w:r>
      </w:hyperlink>
    </w:p>
    <w:p>
      <w:pPr>
        <w:pStyle w:val="BodyText"/>
      </w:pPr>
      <w:r>
        <w:rPr>
          <w:b/>
          <w:bCs/>
        </w:rPr>
        <w:t xml:space="preserve">Collections and account-control risk (Medium).</w:t>
      </w:r>
      <w:r>
        <w:br/>
      </w:r>
      <w:r>
        <w:t xml:space="preserve">Terms provide for automatic wallet debits and prioritization of interest/fees first. This can lead to repeated small debits whenever funds land in the wallet, which borrowers may experience as “aggressive,” even if contractually authorized.</w:t>
      </w:r>
      <w:r>
        <w:t xml:space="preserve"> </w:t>
      </w:r>
      <w:hyperlink r:id="rId22">
        <w:r>
          <w:rPr>
            <w:rStyle w:val="Hyperlink"/>
          </w:rPr>
          <w:t xml:space="preserve">[40]</w:t>
        </w:r>
      </w:hyperlink>
    </w:p>
    <w:p>
      <w:pPr>
        <w:pStyle w:val="BodyText"/>
      </w:pPr>
      <w:r>
        <w:rPr>
          <w:b/>
          <w:bCs/>
        </w:rPr>
        <w:t xml:space="preserve">Credit bureau and future access risk (Medium).</w:t>
      </w:r>
      <w:r>
        <w:br/>
      </w:r>
      <w:r>
        <w:t xml:space="preserve">The platform’s Terms and privacy policy reference credit reference bureau checks and credit scoring. Borrowers should assume delinquency could affect credit history and future access to regulated credit.</w:t>
      </w:r>
      <w:r>
        <w:t xml:space="preserve"> </w:t>
      </w:r>
      <w:hyperlink r:id="rId22">
        <w:r>
          <w:rPr>
            <w:rStyle w:val="Hyperlink"/>
          </w:rPr>
          <w:t xml:space="preserve">[70]</w:t>
        </w:r>
      </w:hyperlink>
    </w:p>
    <w:p>
      <w:pPr>
        <w:pStyle w:val="BodyText"/>
      </w:pPr>
      <w:r>
        <w:rPr>
          <w:b/>
          <w:bCs/>
        </w:rPr>
        <w:t xml:space="preserve">Data/privacy risk (Medium).</w:t>
      </w:r>
      <w:r>
        <w:br/>
      </w:r>
      <w:r>
        <w:t xml:space="preserve">The privacy policy indicates collection of national ID number, device identifiers, and location information and allows sharing with multiple categories of partners and authorities, plus potential cross-border transfers and long retention. While common in fintech underwriting, it increases exposure in the event of breach or misuse and reduces informational privacy.</w:t>
      </w:r>
      <w:r>
        <w:t xml:space="preserve"> </w:t>
      </w:r>
      <w:hyperlink r:id="rId43">
        <w:r>
          <w:rPr>
            <w:rStyle w:val="Hyperlink"/>
          </w:rPr>
          <w:t xml:space="preserve">[71]</w:t>
        </w:r>
      </w:hyperlink>
    </w:p>
    <w:p>
      <w:pPr>
        <w:pStyle w:val="BodyText"/>
      </w:pPr>
      <w:r>
        <w:rPr>
          <w:b/>
          <w:bCs/>
        </w:rPr>
        <w:t xml:space="preserve">Impersonation and look‑alike brand risk (High).</w:t>
      </w:r>
      <w:r>
        <w:br/>
      </w:r>
      <w:r>
        <w:t xml:space="preserve">The existence of similarly named loan apps/websites in other countries with unclear licensing status raises the risk that borrowers may download/look up the wrong “Furaha loan,” especially outside Uganda.</w:t>
      </w:r>
      <w:r>
        <w:t xml:space="preserve"> </w:t>
      </w:r>
      <w:hyperlink r:id="rId26">
        <w:r>
          <w:rPr>
            <w:rStyle w:val="Hyperlink"/>
          </w:rPr>
          <w:t xml:space="preserve">[72]</w:t>
        </w:r>
      </w:hyperlink>
      <w:r>
        <w:t xml:space="preserve"> </w:t>
      </w:r>
      <w:r>
        <w:t xml:space="preserve">This risk is amplified because both Tanzania and Kenya have explicit regulatory expectations around licensing of digital lenders/providers.</w:t>
      </w:r>
      <w:r>
        <w:t xml:space="preserve"> </w:t>
      </w:r>
      <w:hyperlink r:id="rId29">
        <w:r>
          <w:rPr>
            <w:rStyle w:val="Hyperlink"/>
          </w:rPr>
          <w:t xml:space="preserve">[13]</w:t>
        </w:r>
      </w:hyperlink>
    </w:p>
    <w:bookmarkEnd w:id="53"/>
    <w:bookmarkStart w:id="54" w:name="recommended-next-steps-for-borrowers"/>
    <w:p>
      <w:pPr>
        <w:pStyle w:val="Heading3"/>
      </w:pPr>
      <w:r>
        <w:t xml:space="preserve">Recommended next steps for borrowers</w:t>
      </w:r>
    </w:p>
    <w:p>
      <w:pPr>
        <w:pStyle w:val="FirstParagraph"/>
      </w:pPr>
      <w:r>
        <w:t xml:space="preserve">Confirm you are dealing with the</w:t>
      </w:r>
      <w:r>
        <w:t xml:space="preserve"> </w:t>
      </w:r>
      <w:r>
        <w:rPr>
          <w:b/>
          <w:bCs/>
        </w:rPr>
        <w:t xml:space="preserve">Uganda Furaha platform</w:t>
      </w:r>
      <w:r>
        <w:t xml:space="preserve"> </w:t>
      </w:r>
      <w:r>
        <w:t xml:space="preserve">(if that is your intent) by verifying the official domain and store listings and then manage the transaction like a regulated credit product:</w:t>
      </w:r>
    </w:p>
    <w:p>
      <w:pPr>
        <w:pStyle w:val="Compact"/>
        <w:numPr>
          <w:ilvl w:val="0"/>
          <w:numId w:val="1003"/>
        </w:numPr>
      </w:pPr>
      <w:r>
        <w:rPr>
          <w:b/>
          <w:bCs/>
        </w:rPr>
        <w:t xml:space="preserve">Verify the originator lender</w:t>
      </w:r>
      <w:r>
        <w:t xml:space="preserve">: ask (or check in-app documentation) which licensed bank is actually booking the loan account, since Furaha’s Terms state it is an intermediary and the lender relationship is with the third-party provider.</w:t>
      </w:r>
      <w:r>
        <w:t xml:space="preserve"> </w:t>
      </w:r>
      <w:hyperlink r:id="rId22">
        <w:r>
          <w:rPr>
            <w:rStyle w:val="Hyperlink"/>
          </w:rPr>
          <w:t xml:space="preserve">[73]</w:t>
        </w:r>
      </w:hyperlink>
    </w:p>
    <w:p>
      <w:pPr>
        <w:pStyle w:val="Compact"/>
        <w:numPr>
          <w:ilvl w:val="0"/>
          <w:numId w:val="1003"/>
        </w:numPr>
      </w:pPr>
      <w:r>
        <w:rPr>
          <w:b/>
          <w:bCs/>
        </w:rPr>
        <w:t xml:space="preserve">Request/retain the full loan agreement and amortization schedule</w:t>
      </w:r>
      <w:r>
        <w:t xml:space="preserve"> </w:t>
      </w:r>
      <w:r>
        <w:t xml:space="preserve">(principal, interest, fees, penalty triggers). Regulators in Tanzania explicitly remind borrowers to review and retain signed contracts; this is a good practice everywhere.</w:t>
      </w:r>
      <w:r>
        <w:t xml:space="preserve"> </w:t>
      </w:r>
      <w:hyperlink r:id="rId29">
        <w:r>
          <w:rPr>
            <w:rStyle w:val="Hyperlink"/>
          </w:rPr>
          <w:t xml:space="preserve">[52]</w:t>
        </w:r>
      </w:hyperlink>
    </w:p>
    <w:p>
      <w:pPr>
        <w:pStyle w:val="Compact"/>
        <w:numPr>
          <w:ilvl w:val="0"/>
          <w:numId w:val="1003"/>
        </w:numPr>
      </w:pPr>
      <w:r>
        <w:rPr>
          <w:b/>
          <w:bCs/>
        </w:rPr>
        <w:t xml:space="preserve">Stress-test affordability</w:t>
      </w:r>
      <w:r>
        <w:t xml:space="preserve">: model best/worst cases (missed payment → penalty + wallet auto-debits). Use the published example economics and disclosed APR as a baseline.</w:t>
      </w:r>
      <w:r>
        <w:t xml:space="preserve"> </w:t>
      </w:r>
      <w:hyperlink r:id="rId23">
        <w:r>
          <w:rPr>
            <w:rStyle w:val="Hyperlink"/>
          </w:rPr>
          <w:t xml:space="preserve">[63]</w:t>
        </w:r>
      </w:hyperlink>
    </w:p>
    <w:p>
      <w:pPr>
        <w:pStyle w:val="Compact"/>
        <w:numPr>
          <w:ilvl w:val="0"/>
          <w:numId w:val="1003"/>
        </w:numPr>
      </w:pPr>
      <w:r>
        <w:rPr>
          <w:b/>
          <w:bCs/>
        </w:rPr>
        <w:t xml:space="preserve">Minimize privacy exposure</w:t>
      </w:r>
      <w:r>
        <w:t xml:space="preserve">: read the privacy policy and understand what data is collected, how long it is retained, and with whom it may be shared; if uncomfortable, do not proceed because KYC and data processing are required for service delivery.</w:t>
      </w:r>
      <w:r>
        <w:t xml:space="preserve"> </w:t>
      </w:r>
      <w:hyperlink r:id="rId43">
        <w:r>
          <w:rPr>
            <w:rStyle w:val="Hyperlink"/>
          </w:rPr>
          <w:t xml:space="preserve">[71]</w:t>
        </w:r>
      </w:hyperlink>
    </w:p>
    <w:p>
      <w:pPr>
        <w:pStyle w:val="Compact"/>
        <w:numPr>
          <w:ilvl w:val="0"/>
          <w:numId w:val="1003"/>
        </w:numPr>
      </w:pPr>
      <w:r>
        <w:rPr>
          <w:b/>
          <w:bCs/>
        </w:rPr>
        <w:t xml:space="preserve">Use platform controls</w:t>
      </w:r>
      <w:r>
        <w:t xml:space="preserve">: keep your phone/PIN secure, avoid sharing OTPs, and promptly report compromise; these steps are explicitly required/assumed in the Terms.</w:t>
      </w:r>
      <w:r>
        <w:t xml:space="preserve"> </w:t>
      </w:r>
      <w:hyperlink r:id="rId22">
        <w:r>
          <w:rPr>
            <w:rStyle w:val="Hyperlink"/>
          </w:rPr>
          <w:t xml:space="preserve">[43]</w:t>
        </w:r>
      </w:hyperlink>
    </w:p>
    <w:p>
      <w:pPr>
        <w:pStyle w:val="Compact"/>
        <w:numPr>
          <w:ilvl w:val="0"/>
          <w:numId w:val="1003"/>
        </w:numPr>
      </w:pPr>
      <w:r>
        <w:rPr>
          <w:b/>
          <w:bCs/>
        </w:rPr>
        <w:t xml:space="preserve">If evaluating “Furaha” offers in Tanzania or Kenya</w:t>
      </w:r>
      <w:r>
        <w:t xml:space="preserve">: do not rely on marketing claims alone; confirm licensing with the relevant regulator’s published lists/portals before sharing IDs, contacts, or device permissions, consistent with Bank of Tanzania and Central Bank of Kenya expectations.</w:t>
      </w:r>
      <w:r>
        <w:t xml:space="preserve"> </w:t>
      </w:r>
      <w:hyperlink r:id="rId29">
        <w:r>
          <w:rPr>
            <w:rStyle w:val="Hyperlink"/>
          </w:rPr>
          <w:t xml:space="preserve">[74]</w:t>
        </w:r>
      </w:hyperlink>
    </w:p>
    <w:bookmarkEnd w:id="54"/>
    <w:bookmarkEnd w:id="55"/>
    <w:bookmarkEnd w:id="56"/>
    <w:bookmarkEnd w:id="57"/>
    <w:p>
      <w:r>
        <w:pict>
          <v:rect style="width:0;height:1.5pt" o:hralign="center" o:hrstd="t" o:hr="t"/>
        </w:pict>
      </w:r>
    </w:p>
    <w:bookmarkStart w:id="58"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hyperlink r:id="rId21">
        <w:r>
          <w:rPr>
            <w:rStyle w:val="Hyperlink"/>
          </w:rPr>
          <w:t xml:space="preserve">[15]</w:t>
        </w:r>
      </w:hyperlink>
      <w:r>
        <w:t xml:space="preserve"> </w:t>
      </w:r>
      <w:hyperlink r:id="rId21">
        <w:r>
          <w:rPr>
            <w:rStyle w:val="Hyperlink"/>
          </w:rPr>
          <w:t xml:space="preserve">[27]</w:t>
        </w:r>
      </w:hyperlink>
      <w:r>
        <w:t xml:space="preserve"> </w:t>
      </w:r>
      <w:hyperlink r:id="rId21">
        <w:r>
          <w:rPr>
            <w:rStyle w:val="Hyperlink"/>
          </w:rPr>
          <w:t xml:space="preserve">[29]</w:t>
        </w:r>
      </w:hyperlink>
      <w:r>
        <w:t xml:space="preserve"> </w:t>
      </w:r>
      <w:r>
        <w:t xml:space="preserve">Contact Us - Furaha Financial | Need instant support? WhatsApp: +256 326 220200 (24/7). Offices: 3rd Floor, Block B 1 Kololo Hill Drive, Kololo, Kampala, Uganda.</w:t>
      </w:r>
    </w:p>
    <w:p>
      <w:pPr>
        <w:pStyle w:val="BodyText"/>
      </w:pPr>
      <w:hyperlink r:id="rId21">
        <w:r>
          <w:rPr>
            <w:rStyle w:val="Hyperlink"/>
          </w:rPr>
          <w:t xml:space="preserve">https://furahafinancial.com/contact-us/</w:t>
        </w:r>
      </w:hyperlink>
    </w:p>
    <w:p>
      <w:pPr>
        <w:pStyle w:val="BodyText"/>
      </w:pPr>
      <w:hyperlink r:id="rId22">
        <w:r>
          <w:rPr>
            <w:rStyle w:val="Hyperlink"/>
          </w:rPr>
          <w:t xml:space="preserve">[2]</w:t>
        </w:r>
      </w:hyperlink>
      <w:r>
        <w:t xml:space="preserve"> </w:t>
      </w:r>
      <w:hyperlink r:id="rId22">
        <w:r>
          <w:rPr>
            <w:rStyle w:val="Hyperlink"/>
          </w:rPr>
          <w:t xml:space="preserve">[24]</w:t>
        </w:r>
      </w:hyperlink>
      <w:r>
        <w:t xml:space="preserve"> </w:t>
      </w:r>
      <w:hyperlink r:id="rId22">
        <w:r>
          <w:rPr>
            <w:rStyle w:val="Hyperlink"/>
          </w:rPr>
          <w:t xml:space="preserve">[30]</w:t>
        </w:r>
      </w:hyperlink>
      <w:r>
        <w:t xml:space="preserve"> </w:t>
      </w:r>
      <w:hyperlink r:id="rId22">
        <w:r>
          <w:rPr>
            <w:rStyle w:val="Hyperlink"/>
          </w:rPr>
          <w:t xml:space="preserve">[40]</w:t>
        </w:r>
      </w:hyperlink>
      <w:r>
        <w:t xml:space="preserve"> </w:t>
      </w:r>
      <w:hyperlink r:id="rId22">
        <w:r>
          <w:rPr>
            <w:rStyle w:val="Hyperlink"/>
          </w:rPr>
          <w:t xml:space="preserve">[43]</w:t>
        </w:r>
      </w:hyperlink>
      <w:r>
        <w:t xml:space="preserve"> </w:t>
      </w:r>
      <w:hyperlink r:id="rId22">
        <w:r>
          <w:rPr>
            <w:rStyle w:val="Hyperlink"/>
          </w:rPr>
          <w:t xml:space="preserve">[49]</w:t>
        </w:r>
      </w:hyperlink>
      <w:r>
        <w:t xml:space="preserve"> </w:t>
      </w:r>
      <w:hyperlink r:id="rId22">
        <w:r>
          <w:rPr>
            <w:rStyle w:val="Hyperlink"/>
          </w:rPr>
          <w:t xml:space="preserve">[50]</w:t>
        </w:r>
      </w:hyperlink>
      <w:r>
        <w:t xml:space="preserve"> </w:t>
      </w:r>
      <w:hyperlink r:id="rId22">
        <w:r>
          <w:rPr>
            <w:rStyle w:val="Hyperlink"/>
          </w:rPr>
          <w:t xml:space="preserve">[56]</w:t>
        </w:r>
      </w:hyperlink>
      <w:r>
        <w:t xml:space="preserve"> </w:t>
      </w:r>
      <w:hyperlink r:id="rId22">
        <w:r>
          <w:rPr>
            <w:rStyle w:val="Hyperlink"/>
          </w:rPr>
          <w:t xml:space="preserve">[70]</w:t>
        </w:r>
      </w:hyperlink>
      <w:r>
        <w:t xml:space="preserve"> </w:t>
      </w:r>
      <w:hyperlink r:id="rId22">
        <w:r>
          <w:rPr>
            <w:rStyle w:val="Hyperlink"/>
          </w:rPr>
          <w:t xml:space="preserve">[73]</w:t>
        </w:r>
      </w:hyperlink>
      <w:r>
        <w:t xml:space="preserve"> </w:t>
      </w:r>
      <w:r>
        <w:t xml:space="preserve">Terms &amp; Conditions - Furaha</w:t>
      </w:r>
    </w:p>
    <w:p>
      <w:pPr>
        <w:pStyle w:val="BodyText"/>
      </w:pPr>
      <w:hyperlink r:id="rId22">
        <w:r>
          <w:rPr>
            <w:rStyle w:val="Hyperlink"/>
          </w:rPr>
          <w:t xml:space="preserve">https://furahafinancial.com/document/terms-and-conditions/</w:t>
        </w:r>
      </w:hyperlink>
    </w:p>
    <w:p>
      <w:pPr>
        <w:pStyle w:val="BodyText"/>
      </w:pPr>
      <w:hyperlink r:id="rId23">
        <w:r>
          <w:rPr>
            <w:rStyle w:val="Hyperlink"/>
          </w:rPr>
          <w:t xml:space="preserve">[3]</w:t>
        </w:r>
      </w:hyperlink>
      <w:r>
        <w:t xml:space="preserve"> </w:t>
      </w:r>
      <w:hyperlink r:id="rId23">
        <w:r>
          <w:rPr>
            <w:rStyle w:val="Hyperlink"/>
          </w:rPr>
          <w:t xml:space="preserve">[4]</w:t>
        </w:r>
      </w:hyperlink>
      <w:r>
        <w:t xml:space="preserve"> </w:t>
      </w:r>
      <w:hyperlink r:id="rId23">
        <w:r>
          <w:rPr>
            <w:rStyle w:val="Hyperlink"/>
          </w:rPr>
          <w:t xml:space="preserve">[10]</w:t>
        </w:r>
      </w:hyperlink>
      <w:r>
        <w:t xml:space="preserve"> </w:t>
      </w:r>
      <w:hyperlink r:id="rId23">
        <w:r>
          <w:rPr>
            <w:rStyle w:val="Hyperlink"/>
          </w:rPr>
          <w:t xml:space="preserve">[11]</w:t>
        </w:r>
      </w:hyperlink>
      <w:r>
        <w:t xml:space="preserve"> </w:t>
      </w:r>
      <w:hyperlink r:id="rId23">
        <w:r>
          <w:rPr>
            <w:rStyle w:val="Hyperlink"/>
          </w:rPr>
          <w:t xml:space="preserve">[20]</w:t>
        </w:r>
      </w:hyperlink>
      <w:r>
        <w:t xml:space="preserve"> </w:t>
      </w:r>
      <w:hyperlink r:id="rId23">
        <w:r>
          <w:rPr>
            <w:rStyle w:val="Hyperlink"/>
          </w:rPr>
          <w:t xml:space="preserve">[28]</w:t>
        </w:r>
      </w:hyperlink>
      <w:r>
        <w:t xml:space="preserve"> </w:t>
      </w:r>
      <w:hyperlink r:id="rId23">
        <w:r>
          <w:rPr>
            <w:rStyle w:val="Hyperlink"/>
          </w:rPr>
          <w:t xml:space="preserve">[31]</w:t>
        </w:r>
      </w:hyperlink>
      <w:r>
        <w:t xml:space="preserve"> </w:t>
      </w:r>
      <w:hyperlink r:id="rId23">
        <w:r>
          <w:rPr>
            <w:rStyle w:val="Hyperlink"/>
          </w:rPr>
          <w:t xml:space="preserve">[38]</w:t>
        </w:r>
      </w:hyperlink>
      <w:r>
        <w:t xml:space="preserve"> </w:t>
      </w:r>
      <w:hyperlink r:id="rId23">
        <w:r>
          <w:rPr>
            <w:rStyle w:val="Hyperlink"/>
          </w:rPr>
          <w:t xml:space="preserve">[39]</w:t>
        </w:r>
      </w:hyperlink>
      <w:r>
        <w:t xml:space="preserve"> </w:t>
      </w:r>
      <w:hyperlink r:id="rId23">
        <w:r>
          <w:rPr>
            <w:rStyle w:val="Hyperlink"/>
          </w:rPr>
          <w:t xml:space="preserve">[47]</w:t>
        </w:r>
      </w:hyperlink>
      <w:r>
        <w:t xml:space="preserve"> </w:t>
      </w:r>
      <w:hyperlink r:id="rId23">
        <w:r>
          <w:rPr>
            <w:rStyle w:val="Hyperlink"/>
          </w:rPr>
          <w:t xml:space="preserve">[48]</w:t>
        </w:r>
      </w:hyperlink>
      <w:r>
        <w:t xml:space="preserve"> </w:t>
      </w:r>
      <w:hyperlink r:id="rId23">
        <w:r>
          <w:rPr>
            <w:rStyle w:val="Hyperlink"/>
          </w:rPr>
          <w:t xml:space="preserve">[58]</w:t>
        </w:r>
      </w:hyperlink>
      <w:r>
        <w:t xml:space="preserve"> </w:t>
      </w:r>
      <w:hyperlink r:id="rId23">
        <w:r>
          <w:rPr>
            <w:rStyle w:val="Hyperlink"/>
          </w:rPr>
          <w:t xml:space="preserve">[63]</w:t>
        </w:r>
      </w:hyperlink>
      <w:r>
        <w:t xml:space="preserve"> </w:t>
      </w:r>
      <w:hyperlink r:id="rId23">
        <w:r>
          <w:rPr>
            <w:rStyle w:val="Hyperlink"/>
          </w:rPr>
          <w:t xml:space="preserve">[68]</w:t>
        </w:r>
      </w:hyperlink>
      <w:r>
        <w:t xml:space="preserve"> </w:t>
      </w:r>
      <w:r>
        <w:t xml:space="preserve">Furaha – Apps on Google Play</w:t>
      </w:r>
    </w:p>
    <w:p>
      <w:pPr>
        <w:pStyle w:val="BodyText"/>
      </w:pPr>
      <w:hyperlink r:id="rId23">
        <w:r>
          <w:rPr>
            <w:rStyle w:val="Hyperlink"/>
          </w:rPr>
          <w:t xml:space="preserve">https://play.google.com/store/apps/details?hl=en_IN&amp;id=io.scventures.furaha</w:t>
        </w:r>
      </w:hyperlink>
    </w:p>
    <w:p>
      <w:pPr>
        <w:pStyle w:val="BodyText"/>
      </w:pPr>
      <w:hyperlink r:id="rId24">
        <w:r>
          <w:rPr>
            <w:rStyle w:val="Hyperlink"/>
          </w:rPr>
          <w:t xml:space="preserve">[5]</w:t>
        </w:r>
      </w:hyperlink>
      <w:r>
        <w:t xml:space="preserve"> </w:t>
      </w:r>
      <w:hyperlink r:id="rId24">
        <w:r>
          <w:rPr>
            <w:rStyle w:val="Hyperlink"/>
          </w:rPr>
          <w:t xml:space="preserve">[14]</w:t>
        </w:r>
      </w:hyperlink>
      <w:r>
        <w:t xml:space="preserve"> </w:t>
      </w:r>
      <w:hyperlink r:id="rId24">
        <w:r>
          <w:rPr>
            <w:rStyle w:val="Hyperlink"/>
          </w:rPr>
          <w:t xml:space="preserve">[32]</w:t>
        </w:r>
      </w:hyperlink>
      <w:r>
        <w:t xml:space="preserve"> </w:t>
      </w:r>
      <w:hyperlink r:id="rId24">
        <w:r>
          <w:rPr>
            <w:rStyle w:val="Hyperlink"/>
          </w:rPr>
          <w:t xml:space="preserve">[34]</w:t>
        </w:r>
      </w:hyperlink>
      <w:r>
        <w:t xml:space="preserve"> </w:t>
      </w:r>
      <w:hyperlink r:id="rId24">
        <w:r>
          <w:rPr>
            <w:rStyle w:val="Hyperlink"/>
          </w:rPr>
          <w:t xml:space="preserve">[37]</w:t>
        </w:r>
      </w:hyperlink>
      <w:r>
        <w:t xml:space="preserve"> </w:t>
      </w:r>
      <w:hyperlink r:id="rId24">
        <w:r>
          <w:rPr>
            <w:rStyle w:val="Hyperlink"/>
          </w:rPr>
          <w:t xml:space="preserve">[42]</w:t>
        </w:r>
      </w:hyperlink>
      <w:r>
        <w:t xml:space="preserve"> </w:t>
      </w:r>
      <w:hyperlink r:id="rId24">
        <w:r>
          <w:rPr>
            <w:rStyle w:val="Hyperlink"/>
          </w:rPr>
          <w:t xml:space="preserve">[46]</w:t>
        </w:r>
      </w:hyperlink>
      <w:r>
        <w:t xml:space="preserve"> </w:t>
      </w:r>
      <w:hyperlink r:id="rId24">
        <w:r>
          <w:rPr>
            <w:rStyle w:val="Hyperlink"/>
          </w:rPr>
          <w:t xml:space="preserve">[69]</w:t>
        </w:r>
      </w:hyperlink>
      <w:r>
        <w:t xml:space="preserve"> </w:t>
      </w:r>
      <w:r>
        <w:t xml:space="preserve">https://furahafinancial.com/faq-and-resources/</w:t>
      </w:r>
    </w:p>
    <w:p>
      <w:pPr>
        <w:pStyle w:val="BodyText"/>
      </w:pPr>
      <w:hyperlink r:id="rId24">
        <w:r>
          <w:rPr>
            <w:rStyle w:val="Hyperlink"/>
          </w:rPr>
          <w:t xml:space="preserve">https://furahafinancial.com/faq-and-resources/</w:t>
        </w:r>
      </w:hyperlink>
    </w:p>
    <w:p>
      <w:pPr>
        <w:pStyle w:val="BodyText"/>
      </w:pPr>
      <w:hyperlink r:id="rId25">
        <w:r>
          <w:rPr>
            <w:rStyle w:val="Hyperlink"/>
          </w:rPr>
          <w:t xml:space="preserve">[6]</w:t>
        </w:r>
      </w:hyperlink>
      <w:r>
        <w:t xml:space="preserve"> </w:t>
      </w:r>
      <w:hyperlink r:id="rId25">
        <w:r>
          <w:rPr>
            <w:rStyle w:val="Hyperlink"/>
          </w:rPr>
          <w:t xml:space="preserve">[57]</w:t>
        </w:r>
      </w:hyperlink>
      <w:r>
        <w:t xml:space="preserve"> </w:t>
      </w:r>
      <w:r>
        <w:t xml:space="preserve">https://www.odpc.go.ke/</w:t>
      </w:r>
    </w:p>
    <w:p>
      <w:pPr>
        <w:pStyle w:val="BodyText"/>
      </w:pPr>
      <w:hyperlink r:id="rId25">
        <w:r>
          <w:rPr>
            <w:rStyle w:val="Hyperlink"/>
          </w:rPr>
          <w:t xml:space="preserve">https://www.odpc.go.ke/</w:t>
        </w:r>
      </w:hyperlink>
    </w:p>
    <w:p>
      <w:pPr>
        <w:pStyle w:val="BodyText"/>
      </w:pPr>
      <w:hyperlink r:id="rId26">
        <w:r>
          <w:rPr>
            <w:rStyle w:val="Hyperlink"/>
          </w:rPr>
          <w:t xml:space="preserve">[7]</w:t>
        </w:r>
      </w:hyperlink>
      <w:r>
        <w:t xml:space="preserve"> </w:t>
      </w:r>
      <w:hyperlink r:id="rId26">
        <w:r>
          <w:rPr>
            <w:rStyle w:val="Hyperlink"/>
          </w:rPr>
          <w:t xml:space="preserve">[25]</w:t>
        </w:r>
      </w:hyperlink>
      <w:r>
        <w:t xml:space="preserve"> </w:t>
      </w:r>
      <w:hyperlink r:id="rId26">
        <w:r>
          <w:rPr>
            <w:rStyle w:val="Hyperlink"/>
          </w:rPr>
          <w:t xml:space="preserve">[72]</w:t>
        </w:r>
      </w:hyperlink>
      <w:r>
        <w:t xml:space="preserve"> </w:t>
      </w:r>
      <w:r>
        <w:t xml:space="preserve">Furahaloan Tanzania OnlineLoan - Apps on Google Play</w:t>
      </w:r>
    </w:p>
    <w:p>
      <w:pPr>
        <w:pStyle w:val="BodyText"/>
      </w:pPr>
      <w:hyperlink r:id="rId26">
        <w:r>
          <w:rPr>
            <w:rStyle w:val="Hyperlink"/>
          </w:rPr>
          <w:t xml:space="preserve">https://play.google.com/store/apps/details?id=com.hamokopo.whamop</w:t>
        </w:r>
      </w:hyperlink>
    </w:p>
    <w:p>
      <w:pPr>
        <w:pStyle w:val="BodyText"/>
      </w:pPr>
      <w:hyperlink r:id="rId27">
        <w:r>
          <w:rPr>
            <w:rStyle w:val="Hyperlink"/>
          </w:rPr>
          <w:t xml:space="preserve">[8]</w:t>
        </w:r>
      </w:hyperlink>
      <w:r>
        <w:t xml:space="preserve"> </w:t>
      </w:r>
      <w:hyperlink r:id="rId27">
        <w:r>
          <w:rPr>
            <w:rStyle w:val="Hyperlink"/>
          </w:rPr>
          <w:t xml:space="preserve">[36]</w:t>
        </w:r>
      </w:hyperlink>
      <w:r>
        <w:t xml:space="preserve"> </w:t>
      </w:r>
      <w:hyperlink r:id="rId27">
        <w:r>
          <w:rPr>
            <w:rStyle w:val="Hyperlink"/>
          </w:rPr>
          <w:t xml:space="preserve">[67]</w:t>
        </w:r>
      </w:hyperlink>
      <w:r>
        <w:t xml:space="preserve"> </w:t>
      </w:r>
      <w:r>
        <w:t xml:space="preserve">https://furahafinancial.com/</w:t>
      </w:r>
    </w:p>
    <w:p>
      <w:pPr>
        <w:pStyle w:val="BodyText"/>
      </w:pPr>
      <w:hyperlink r:id="rId27">
        <w:r>
          <w:rPr>
            <w:rStyle w:val="Hyperlink"/>
          </w:rPr>
          <w:t xml:space="preserve">https://furahafinancial.com/</w:t>
        </w:r>
      </w:hyperlink>
    </w:p>
    <w:p>
      <w:pPr>
        <w:pStyle w:val="BodyText"/>
      </w:pPr>
      <w:hyperlink r:id="rId28">
        <w:r>
          <w:rPr>
            <w:rStyle w:val="Hyperlink"/>
          </w:rPr>
          <w:t xml:space="preserve">[9]</w:t>
        </w:r>
      </w:hyperlink>
      <w:r>
        <w:t xml:space="preserve"> </w:t>
      </w:r>
      <w:r>
        <w:t xml:space="preserve">Fast Mobile Loans in Kenya - Furaha Loan</w:t>
      </w:r>
    </w:p>
    <w:p>
      <w:pPr>
        <w:pStyle w:val="BodyText"/>
      </w:pPr>
      <w:hyperlink r:id="rId28">
        <w:r>
          <w:rPr>
            <w:rStyle w:val="Hyperlink"/>
          </w:rPr>
          <w:t xml:space="preserve">https://www.furahaloan.site/apply/personal-details?utm_source=chatgpt.com</w:t>
        </w:r>
      </w:hyperlink>
    </w:p>
    <w:p>
      <w:pPr>
        <w:pStyle w:val="BodyText"/>
      </w:pPr>
      <w:hyperlink r:id="rId29">
        <w:r>
          <w:rPr>
            <w:rStyle w:val="Hyperlink"/>
          </w:rPr>
          <w:t xml:space="preserve">[13]</w:t>
        </w:r>
      </w:hyperlink>
      <w:r>
        <w:t xml:space="preserve"> </w:t>
      </w:r>
      <w:hyperlink r:id="rId29">
        <w:r>
          <w:rPr>
            <w:rStyle w:val="Hyperlink"/>
          </w:rPr>
          <w:t xml:space="preserve">[52]</w:t>
        </w:r>
      </w:hyperlink>
      <w:r>
        <w:t xml:space="preserve"> </w:t>
      </w:r>
      <w:hyperlink r:id="rId29">
        <w:r>
          <w:rPr>
            <w:rStyle w:val="Hyperlink"/>
          </w:rPr>
          <w:t xml:space="preserve">[74]</w:t>
        </w:r>
      </w:hyperlink>
      <w:r>
        <w:t xml:space="preserve"> </w:t>
      </w:r>
      <w:r>
        <w:t xml:space="preserve">https://www.bot.go.tz/Adverts/PressRelease/en/2024051310172548.pdf</w:t>
      </w:r>
    </w:p>
    <w:p>
      <w:pPr>
        <w:pStyle w:val="BodyText"/>
      </w:pPr>
      <w:hyperlink r:id="rId29">
        <w:r>
          <w:rPr>
            <w:rStyle w:val="Hyperlink"/>
          </w:rPr>
          <w:t xml:space="preserve">https://www.bot.go.tz/Adverts/PressRelease/en/2024051310172548.pdf</w:t>
        </w:r>
      </w:hyperlink>
    </w:p>
    <w:p>
      <w:pPr>
        <w:pStyle w:val="BodyText"/>
      </w:pPr>
      <w:hyperlink r:id="rId32">
        <w:r>
          <w:rPr>
            <w:rStyle w:val="Hyperlink"/>
          </w:rPr>
          <w:t xml:space="preserve">[16]</w:t>
        </w:r>
      </w:hyperlink>
      <w:r>
        <w:t xml:space="preserve"> </w:t>
      </w:r>
      <w:hyperlink r:id="rId32">
        <w:r>
          <w:rPr>
            <w:rStyle w:val="Hyperlink"/>
          </w:rPr>
          <w:t xml:space="preserve">[60]</w:t>
        </w:r>
      </w:hyperlink>
      <w:r>
        <w:t xml:space="preserve"> </w:t>
      </w:r>
      <w:r>
        <w:t xml:space="preserve">Individual School Fees Loan - Opportunity Bank Uganda</w:t>
      </w:r>
    </w:p>
    <w:p>
      <w:pPr>
        <w:pStyle w:val="BodyText"/>
      </w:pPr>
      <w:hyperlink r:id="rId32">
        <w:r>
          <w:rPr>
            <w:rStyle w:val="Hyperlink"/>
          </w:rPr>
          <w:t xml:space="preserve">https://opportunitybank.co.ug/service/individual-school-fees-loan/</w:t>
        </w:r>
      </w:hyperlink>
    </w:p>
    <w:p>
      <w:pPr>
        <w:pStyle w:val="BodyText"/>
      </w:pPr>
      <w:hyperlink r:id="rId33">
        <w:r>
          <w:rPr>
            <w:rStyle w:val="Hyperlink"/>
          </w:rPr>
          <w:t xml:space="preserve">[17]</w:t>
        </w:r>
      </w:hyperlink>
      <w:r>
        <w:t xml:space="preserve"> </w:t>
      </w:r>
      <w:hyperlink r:id="rId33">
        <w:r>
          <w:rPr>
            <w:rStyle w:val="Hyperlink"/>
          </w:rPr>
          <w:t xml:space="preserve">[23]</w:t>
        </w:r>
      </w:hyperlink>
      <w:r>
        <w:t xml:space="preserve"> </w:t>
      </w:r>
      <w:r>
        <w:t xml:space="preserve">https://lei.bloomberg.com/leis/view/2138005V8MDTT5GMG883</w:t>
      </w:r>
    </w:p>
    <w:p>
      <w:pPr>
        <w:pStyle w:val="BodyText"/>
      </w:pPr>
      <w:hyperlink r:id="rId33">
        <w:r>
          <w:rPr>
            <w:rStyle w:val="Hyperlink"/>
          </w:rPr>
          <w:t xml:space="preserve">https://lei.bloomberg.com/leis/view/2138005V8MDTT5GMG883</w:t>
        </w:r>
      </w:hyperlink>
    </w:p>
    <w:p>
      <w:pPr>
        <w:pStyle w:val="BodyText"/>
      </w:pPr>
      <w:hyperlink r:id="rId34">
        <w:r>
          <w:rPr>
            <w:rStyle w:val="Hyperlink"/>
          </w:rPr>
          <w:t xml:space="preserve">[18]</w:t>
        </w:r>
      </w:hyperlink>
      <w:r>
        <w:t xml:space="preserve"> </w:t>
      </w:r>
      <w:hyperlink r:id="rId34">
        <w:r>
          <w:rPr>
            <w:rStyle w:val="Hyperlink"/>
          </w:rPr>
          <w:t xml:space="preserve">[35]</w:t>
        </w:r>
      </w:hyperlink>
      <w:r>
        <w:t xml:space="preserve"> </w:t>
      </w:r>
      <w:hyperlink r:id="rId34">
        <w:r>
          <w:rPr>
            <w:rStyle w:val="Hyperlink"/>
          </w:rPr>
          <w:t xml:space="preserve">[41]</w:t>
        </w:r>
      </w:hyperlink>
      <w:r>
        <w:t xml:space="preserve"> </w:t>
      </w:r>
      <w:hyperlink r:id="rId34">
        <w:r>
          <w:rPr>
            <w:rStyle w:val="Hyperlink"/>
          </w:rPr>
          <w:t xml:space="preserve">[45]</w:t>
        </w:r>
      </w:hyperlink>
      <w:r>
        <w:t xml:space="preserve"> </w:t>
      </w:r>
      <w:r>
        <w:t xml:space="preserve">School Fees Loan on the Furaha App - Furaha</w:t>
      </w:r>
    </w:p>
    <w:p>
      <w:pPr>
        <w:pStyle w:val="BodyText"/>
      </w:pPr>
      <w:hyperlink r:id="rId34">
        <w:r>
          <w:rPr>
            <w:rStyle w:val="Hyperlink"/>
          </w:rPr>
          <w:t xml:space="preserve">https://furahafinancial.com/our-products</w:t>
        </w:r>
      </w:hyperlink>
    </w:p>
    <w:p>
      <w:pPr>
        <w:pStyle w:val="BodyText"/>
      </w:pPr>
      <w:hyperlink r:id="rId35">
        <w:r>
          <w:rPr>
            <w:rStyle w:val="Hyperlink"/>
          </w:rPr>
          <w:t xml:space="preserve">[19]</w:t>
        </w:r>
      </w:hyperlink>
      <w:r>
        <w:t xml:space="preserve"> </w:t>
      </w:r>
      <w:r>
        <w:t xml:space="preserve">https://lei.bloomberg.com/leis/view/213800F1SNWZI18FVT44</w:t>
      </w:r>
    </w:p>
    <w:p>
      <w:pPr>
        <w:pStyle w:val="BodyText"/>
      </w:pPr>
      <w:hyperlink r:id="rId35">
        <w:r>
          <w:rPr>
            <w:rStyle w:val="Hyperlink"/>
          </w:rPr>
          <w:t xml:space="preserve">https://lei.bloomberg.com/leis/view/213800F1SNWZI18FVT44</w:t>
        </w:r>
      </w:hyperlink>
    </w:p>
    <w:p>
      <w:pPr>
        <w:pStyle w:val="BodyText"/>
      </w:pPr>
      <w:hyperlink r:id="rId36">
        <w:r>
          <w:rPr>
            <w:rStyle w:val="Hyperlink"/>
          </w:rPr>
          <w:t xml:space="preserve">[21]</w:t>
        </w:r>
      </w:hyperlink>
      <w:r>
        <w:t xml:space="preserve"> </w:t>
      </w:r>
      <w:r>
        <w:t xml:space="preserve">https://insights.techmahindra.com/investors/se-intimation-23122024.pdf</w:t>
      </w:r>
    </w:p>
    <w:p>
      <w:pPr>
        <w:pStyle w:val="BodyText"/>
      </w:pPr>
      <w:hyperlink r:id="rId36">
        <w:r>
          <w:rPr>
            <w:rStyle w:val="Hyperlink"/>
          </w:rPr>
          <w:t xml:space="preserve">https://insights.techmahindra.com/investors/se-intimation-23122024.pdf</w:t>
        </w:r>
      </w:hyperlink>
    </w:p>
    <w:p>
      <w:pPr>
        <w:pStyle w:val="BodyText"/>
      </w:pPr>
      <w:hyperlink r:id="rId37">
        <w:r>
          <w:rPr>
            <w:rStyle w:val="Hyperlink"/>
          </w:rPr>
          <w:t xml:space="preserve">[22]</w:t>
        </w:r>
      </w:hyperlink>
      <w:r>
        <w:t xml:space="preserve"> </w:t>
      </w:r>
      <w:hyperlink r:id="rId37">
        <w:r>
          <w:rPr>
            <w:rStyle w:val="Hyperlink"/>
          </w:rPr>
          <w:t xml:space="preserve">[62]</w:t>
        </w:r>
      </w:hyperlink>
      <w:r>
        <w:t xml:space="preserve"> </w:t>
      </w:r>
      <w:r>
        <w:t xml:space="preserve">financetrust.co.ug</w:t>
      </w:r>
    </w:p>
    <w:p>
      <w:pPr>
        <w:pStyle w:val="BodyText"/>
      </w:pPr>
      <w:hyperlink r:id="rId37">
        <w:r>
          <w:rPr>
            <w:rStyle w:val="Hyperlink"/>
          </w:rPr>
          <w:t xml:space="preserve">https://www.financetrust.co.ug/wp-content/uploads/2025/11/FTB_TARRIF-GUIDE_UPDATE_OCT25.pdf</w:t>
        </w:r>
      </w:hyperlink>
    </w:p>
    <w:p>
      <w:pPr>
        <w:pStyle w:val="BodyText"/>
      </w:pPr>
      <w:hyperlink r:id="rId38">
        <w:r>
          <w:rPr>
            <w:rStyle w:val="Hyperlink"/>
          </w:rPr>
          <w:t xml:space="preserve">[26]</w:t>
        </w:r>
      </w:hyperlink>
      <w:r>
        <w:t xml:space="preserve"> </w:t>
      </w:r>
      <w:r>
        <w:t xml:space="preserve">SC Ventures and Yabx, a Tech Mahindra Group company, invest $10 Million to setup Furaha and expand access to purpose-driven financing in Africa - SC Ventures | Standard Chartered Bank</w:t>
      </w:r>
    </w:p>
    <w:p>
      <w:pPr>
        <w:pStyle w:val="BodyText"/>
      </w:pPr>
      <w:hyperlink r:id="rId38">
        <w:r>
          <w:rPr>
            <w:rStyle w:val="Hyperlink"/>
          </w:rPr>
          <w:t xml:space="preserve">https://scventures.io/sc-ventures-and-yabx-a-tech-mahindra-group-company-invest-10-million-to-setup-furaha-and-expand-access-to-purpose-driven-financing-in-africa/</w:t>
        </w:r>
      </w:hyperlink>
    </w:p>
    <w:p>
      <w:pPr>
        <w:pStyle w:val="BodyText"/>
      </w:pPr>
      <w:hyperlink r:id="rId39">
        <w:r>
          <w:rPr>
            <w:rStyle w:val="Hyperlink"/>
          </w:rPr>
          <w:t xml:space="preserve">[33]</w:t>
        </w:r>
      </w:hyperlink>
      <w:r>
        <w:t xml:space="preserve"> </w:t>
      </w:r>
      <w:hyperlink r:id="rId39">
        <w:r>
          <w:rPr>
            <w:rStyle w:val="Hyperlink"/>
          </w:rPr>
          <w:t xml:space="preserve">[64]</w:t>
        </w:r>
      </w:hyperlink>
      <w:r>
        <w:t xml:space="preserve"> </w:t>
      </w:r>
      <w:r>
        <w:t xml:space="preserve">https://nilepost.co.ug/news/309158/dtb%2C-furaha-partner-to-provide-digital-school-fees-loans</w:t>
      </w:r>
    </w:p>
    <w:p>
      <w:pPr>
        <w:pStyle w:val="BodyText"/>
      </w:pPr>
      <w:hyperlink r:id="rId39">
        <w:r>
          <w:rPr>
            <w:rStyle w:val="Hyperlink"/>
          </w:rPr>
          <w:t xml:space="preserve">https://nilepost.co.ug/news/309158/dtb%2C-furaha-partner-to-provide-digital-school-fees-loans</w:t>
        </w:r>
      </w:hyperlink>
    </w:p>
    <w:p>
      <w:pPr>
        <w:pStyle w:val="BodyText"/>
      </w:pPr>
      <w:hyperlink r:id="rId43">
        <w:r>
          <w:rPr>
            <w:rStyle w:val="Hyperlink"/>
          </w:rPr>
          <w:t xml:space="preserve">[44]</w:t>
        </w:r>
      </w:hyperlink>
      <w:r>
        <w:t xml:space="preserve"> </w:t>
      </w:r>
      <w:hyperlink r:id="rId43">
        <w:r>
          <w:rPr>
            <w:rStyle w:val="Hyperlink"/>
          </w:rPr>
          <w:t xml:space="preserve">[51]</w:t>
        </w:r>
      </w:hyperlink>
      <w:r>
        <w:t xml:space="preserve"> </w:t>
      </w:r>
      <w:hyperlink r:id="rId43">
        <w:r>
          <w:rPr>
            <w:rStyle w:val="Hyperlink"/>
          </w:rPr>
          <w:t xml:space="preserve">[61]</w:t>
        </w:r>
      </w:hyperlink>
      <w:r>
        <w:t xml:space="preserve"> </w:t>
      </w:r>
      <w:hyperlink r:id="rId43">
        <w:r>
          <w:rPr>
            <w:rStyle w:val="Hyperlink"/>
          </w:rPr>
          <w:t xml:space="preserve">[71]</w:t>
        </w:r>
      </w:hyperlink>
      <w:r>
        <w:t xml:space="preserve"> </w:t>
      </w:r>
      <w:r>
        <w:t xml:space="preserve">Privacy Policy - Furaha</w:t>
      </w:r>
    </w:p>
    <w:p>
      <w:pPr>
        <w:pStyle w:val="BodyText"/>
      </w:pPr>
      <w:hyperlink r:id="rId43">
        <w:r>
          <w:rPr>
            <w:rStyle w:val="Hyperlink"/>
          </w:rPr>
          <w:t xml:space="preserve">https://furahafinancial.com/document/privacy-policy/</w:t>
        </w:r>
      </w:hyperlink>
    </w:p>
    <w:p>
      <w:pPr>
        <w:pStyle w:val="BodyText"/>
      </w:pPr>
      <w:hyperlink r:id="rId46">
        <w:r>
          <w:rPr>
            <w:rStyle w:val="Hyperlink"/>
          </w:rPr>
          <w:t xml:space="preserve">[53]</w:t>
        </w:r>
      </w:hyperlink>
      <w:r>
        <w:t xml:space="preserve"> </w:t>
      </w:r>
      <w:hyperlink r:id="rId46">
        <w:r>
          <w:rPr>
            <w:rStyle w:val="Hyperlink"/>
          </w:rPr>
          <w:t xml:space="preserve">[59]</w:t>
        </w:r>
      </w:hyperlink>
      <w:r>
        <w:t xml:space="preserve"> </w:t>
      </w:r>
      <w:r>
        <w:t xml:space="preserve">https://bot.go.tz/Publications/Acts%2C%20Regulations%2C%20Circulars%2C%20Guidelines/Guidelines/en/2024082813141188.pdf</w:t>
      </w:r>
    </w:p>
    <w:p>
      <w:pPr>
        <w:pStyle w:val="BodyText"/>
      </w:pPr>
      <w:hyperlink r:id="rId46">
        <w:r>
          <w:rPr>
            <w:rStyle w:val="Hyperlink"/>
          </w:rPr>
          <w:t xml:space="preserve">https://bot.go.tz/Publications/Acts%2C%20Regulations%2C%20Circulars%2C%20Guidelines/Guidelines/en/2024082813141188.pdf</w:t>
        </w:r>
      </w:hyperlink>
    </w:p>
    <w:p>
      <w:pPr>
        <w:pStyle w:val="BodyText"/>
      </w:pPr>
      <w:hyperlink r:id="rId47">
        <w:r>
          <w:rPr>
            <w:rStyle w:val="Hyperlink"/>
          </w:rPr>
          <w:t xml:space="preserve">[54]</w:t>
        </w:r>
      </w:hyperlink>
      <w:r>
        <w:t xml:space="preserve"> </w:t>
      </w:r>
      <w:r>
        <w:t xml:space="preserve">https://www.centralbank.go.ke/2022/03/21/central-bank-of-kenya-digital-credit-providers-regulations-2022/</w:t>
      </w:r>
    </w:p>
    <w:p>
      <w:pPr>
        <w:pStyle w:val="BodyText"/>
      </w:pPr>
      <w:hyperlink r:id="rId47">
        <w:r>
          <w:rPr>
            <w:rStyle w:val="Hyperlink"/>
          </w:rPr>
          <w:t xml:space="preserve">https://www.centralbank.go.ke/2022/03/21/central-bank-of-kenya-digital-credit-providers-regulations-2022/</w:t>
        </w:r>
      </w:hyperlink>
    </w:p>
    <w:p>
      <w:pPr>
        <w:pStyle w:val="BodyText"/>
      </w:pPr>
      <w:hyperlink r:id="rId48">
        <w:r>
          <w:rPr>
            <w:rStyle w:val="Hyperlink"/>
          </w:rPr>
          <w:t xml:space="preserve">[55]</w:t>
        </w:r>
      </w:hyperlink>
      <w:r>
        <w:t xml:space="preserve"> </w:t>
      </w:r>
      <w:r>
        <w:t xml:space="preserve">https://new.kenyalaw.org/akn/ke/act/ln/2022/46/eng%402022-04-22</w:t>
      </w:r>
    </w:p>
    <w:p>
      <w:pPr>
        <w:pStyle w:val="BodyText"/>
      </w:pPr>
      <w:hyperlink r:id="rId48">
        <w:r>
          <w:rPr>
            <w:rStyle w:val="Hyperlink"/>
          </w:rPr>
          <w:t xml:space="preserve">https://new.kenyalaw.org/akn/ke/act/ln/2022/46/eng%402022-04-22</w:t>
        </w:r>
      </w:hyperlink>
    </w:p>
    <w:p>
      <w:pPr>
        <w:pStyle w:val="BodyText"/>
      </w:pPr>
      <w:hyperlink r:id="rId50">
        <w:r>
          <w:rPr>
            <w:rStyle w:val="Hyperlink"/>
          </w:rPr>
          <w:t xml:space="preserve">[65]</w:t>
        </w:r>
      </w:hyperlink>
      <w:r>
        <w:t xml:space="preserve"> </w:t>
      </w:r>
      <w:r>
        <w:t xml:space="preserve">https://www.pegasus.co.ug/?page_id=2378</w:t>
      </w:r>
    </w:p>
    <w:p>
      <w:pPr>
        <w:pStyle w:val="BodyText"/>
      </w:pPr>
      <w:hyperlink r:id="rId50">
        <w:r>
          <w:rPr>
            <w:rStyle w:val="Hyperlink"/>
          </w:rPr>
          <w:t xml:space="preserve">https://www.pegasus.co.ug/?page_id=2378</w:t>
        </w:r>
      </w:hyperlink>
    </w:p>
    <w:p>
      <w:pPr>
        <w:pStyle w:val="BodyText"/>
      </w:pPr>
      <w:hyperlink r:id="rId51">
        <w:r>
          <w:rPr>
            <w:rStyle w:val="Hyperlink"/>
          </w:rPr>
          <w:t xml:space="preserve">[66]</w:t>
        </w:r>
      </w:hyperlink>
      <w:r>
        <w:t xml:space="preserve"> </w:t>
      </w:r>
      <w:r>
        <w:t xml:space="preserve">https://apps.apple.com/ug/app/furaha/id6478831795</w:t>
      </w:r>
    </w:p>
    <w:p>
      <w:pPr>
        <w:pStyle w:val="BodyText"/>
      </w:pPr>
      <w:hyperlink r:id="rId51">
        <w:r>
          <w:rPr>
            <w:rStyle w:val="Hyperlink"/>
          </w:rPr>
          <w:t xml:space="preserve">https://apps.apple.com/ug/app/furaha/id6478831795</w:t>
        </w:r>
      </w:hyperlink>
    </w:p>
    <w:bookmarkEnd w:id="5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51" Target="https://apps.apple.com/ug/app/furaha/id6478831795" TargetMode="External" /><Relationship Type="http://schemas.openxmlformats.org/officeDocument/2006/relationships/hyperlink" Id="rId46" Target="https://bot.go.tz/Publications/Acts%2C%20Regulations%2C%20Circulars%2C%20Guidelines/Guidelines/en/2024082813141188.pdf" TargetMode="External" /><Relationship Type="http://schemas.openxmlformats.org/officeDocument/2006/relationships/hyperlink" Id="rId27" Target="https://furahafinancial.com/" TargetMode="External" /><Relationship Type="http://schemas.openxmlformats.org/officeDocument/2006/relationships/hyperlink" Id="rId21" Target="https://furahafinancial.com/contact-us/" TargetMode="External" /><Relationship Type="http://schemas.openxmlformats.org/officeDocument/2006/relationships/hyperlink" Id="rId43" Target="https://furahafinancial.com/document/privacy-policy/" TargetMode="External" /><Relationship Type="http://schemas.openxmlformats.org/officeDocument/2006/relationships/hyperlink" Id="rId22" Target="https://furahafinancial.com/document/terms-and-conditions/" TargetMode="External" /><Relationship Type="http://schemas.openxmlformats.org/officeDocument/2006/relationships/hyperlink" Id="rId24" Target="https://furahafinancial.com/faq-and-resources/" TargetMode="External" /><Relationship Type="http://schemas.openxmlformats.org/officeDocument/2006/relationships/hyperlink" Id="rId34" Target="https://furahafinancial.com/our-products" TargetMode="External" /><Relationship Type="http://schemas.openxmlformats.org/officeDocument/2006/relationships/hyperlink" Id="rId36" Target="https://insights.techmahindra.com/investors/se-intimation-23122024.pdf" TargetMode="External" /><Relationship Type="http://schemas.openxmlformats.org/officeDocument/2006/relationships/hyperlink" Id="rId33" Target="https://lei.bloomberg.com/leis/view/2138005V8MDTT5GMG883" TargetMode="External" /><Relationship Type="http://schemas.openxmlformats.org/officeDocument/2006/relationships/hyperlink" Id="rId35" Target="https://lei.bloomberg.com/leis/view/213800F1SNWZI18FVT44" TargetMode="External" /><Relationship Type="http://schemas.openxmlformats.org/officeDocument/2006/relationships/hyperlink" Id="rId48" Target="https://new.kenyalaw.org/akn/ke/act/ln/2022/46/eng%402022-04-22" TargetMode="External" /><Relationship Type="http://schemas.openxmlformats.org/officeDocument/2006/relationships/hyperlink" Id="rId39" Target="https://nilepost.co.ug/news/309158/dtb%2C-furaha-partner-to-provide-digital-school-fees-loans" TargetMode="External" /><Relationship Type="http://schemas.openxmlformats.org/officeDocument/2006/relationships/hyperlink" Id="rId32" Target="https://opportunitybank.co.ug/service/individual-school-fees-loan/" TargetMode="External" /><Relationship Type="http://schemas.openxmlformats.org/officeDocument/2006/relationships/hyperlink" Id="rId23" Target="https://play.google.com/store/apps/details?hl=en_IN&amp;id=io.scventures.furaha" TargetMode="External" /><Relationship Type="http://schemas.openxmlformats.org/officeDocument/2006/relationships/hyperlink" Id="rId26" Target="https://play.google.com/store/apps/details?id=com.hamokopo.whamop" TargetMode="External" /><Relationship Type="http://schemas.openxmlformats.org/officeDocument/2006/relationships/hyperlink" Id="rId38" Target="https://scventures.io/sc-ventures-and-yabx-a-tech-mahindra-group-company-invest-10-million-to-setup-furaha-and-expand-access-to-purpose-driven-financing-in-africa/" TargetMode="External" /><Relationship Type="http://schemas.openxmlformats.org/officeDocument/2006/relationships/hyperlink" Id="rId29" Target="https://www.bot.go.tz/Adverts/PressRelease/en/2024051310172548.pdf" TargetMode="External" /><Relationship Type="http://schemas.openxmlformats.org/officeDocument/2006/relationships/hyperlink" Id="rId47" Target="https://www.centralbank.go.ke/2022/03/21/central-bank-of-kenya-digital-credit-providers-regulations-2022/" TargetMode="External" /><Relationship Type="http://schemas.openxmlformats.org/officeDocument/2006/relationships/hyperlink" Id="rId37" Target="https://www.financetrust.co.ug/wp-content/uploads/2025/11/FTB_TARRIF-GUIDE_UPDATE_OCT25.pdf" TargetMode="External" /><Relationship Type="http://schemas.openxmlformats.org/officeDocument/2006/relationships/hyperlink" Id="rId28" Target="https://www.furahaloan.site/apply/personal-details?utm_source=chatgpt.com" TargetMode="External" /><Relationship Type="http://schemas.openxmlformats.org/officeDocument/2006/relationships/hyperlink" Id="rId25" Target="https://www.odpc.go.ke/" TargetMode="External" /><Relationship Type="http://schemas.openxmlformats.org/officeDocument/2006/relationships/hyperlink" Id="rId50" Target="https://www.pegasus.co.ug/?page_id=2378" TargetMode="External" /></Relationships>
</file>

<file path=word/_rels/footnotes.xml.rels><?xml version="1.0" encoding="UTF-8"?><Relationships xmlns="http://schemas.openxmlformats.org/package/2006/relationships"><Relationship Type="http://schemas.openxmlformats.org/officeDocument/2006/relationships/hyperlink" Id="rId51" Target="https://apps.apple.com/ug/app/furaha/id6478831795" TargetMode="External" /><Relationship Type="http://schemas.openxmlformats.org/officeDocument/2006/relationships/hyperlink" Id="rId46" Target="https://bot.go.tz/Publications/Acts%2C%20Regulations%2C%20Circulars%2C%20Guidelines/Guidelines/en/2024082813141188.pdf" TargetMode="External" /><Relationship Type="http://schemas.openxmlformats.org/officeDocument/2006/relationships/hyperlink" Id="rId27" Target="https://furahafinancial.com/" TargetMode="External" /><Relationship Type="http://schemas.openxmlformats.org/officeDocument/2006/relationships/hyperlink" Id="rId21" Target="https://furahafinancial.com/contact-us/" TargetMode="External" /><Relationship Type="http://schemas.openxmlformats.org/officeDocument/2006/relationships/hyperlink" Id="rId43" Target="https://furahafinancial.com/document/privacy-policy/" TargetMode="External" /><Relationship Type="http://schemas.openxmlformats.org/officeDocument/2006/relationships/hyperlink" Id="rId22" Target="https://furahafinancial.com/document/terms-and-conditions/" TargetMode="External" /><Relationship Type="http://schemas.openxmlformats.org/officeDocument/2006/relationships/hyperlink" Id="rId24" Target="https://furahafinancial.com/faq-and-resources/" TargetMode="External" /><Relationship Type="http://schemas.openxmlformats.org/officeDocument/2006/relationships/hyperlink" Id="rId34" Target="https://furahafinancial.com/our-products" TargetMode="External" /><Relationship Type="http://schemas.openxmlformats.org/officeDocument/2006/relationships/hyperlink" Id="rId36" Target="https://insights.techmahindra.com/investors/se-intimation-23122024.pdf" TargetMode="External" /><Relationship Type="http://schemas.openxmlformats.org/officeDocument/2006/relationships/hyperlink" Id="rId33" Target="https://lei.bloomberg.com/leis/view/2138005V8MDTT5GMG883" TargetMode="External" /><Relationship Type="http://schemas.openxmlformats.org/officeDocument/2006/relationships/hyperlink" Id="rId35" Target="https://lei.bloomberg.com/leis/view/213800F1SNWZI18FVT44" TargetMode="External" /><Relationship Type="http://schemas.openxmlformats.org/officeDocument/2006/relationships/hyperlink" Id="rId48" Target="https://new.kenyalaw.org/akn/ke/act/ln/2022/46/eng%402022-04-22" TargetMode="External" /><Relationship Type="http://schemas.openxmlformats.org/officeDocument/2006/relationships/hyperlink" Id="rId39" Target="https://nilepost.co.ug/news/309158/dtb%2C-furaha-partner-to-provide-digital-school-fees-loans" TargetMode="External" /><Relationship Type="http://schemas.openxmlformats.org/officeDocument/2006/relationships/hyperlink" Id="rId32" Target="https://opportunitybank.co.ug/service/individual-school-fees-loan/" TargetMode="External" /><Relationship Type="http://schemas.openxmlformats.org/officeDocument/2006/relationships/hyperlink" Id="rId23" Target="https://play.google.com/store/apps/details?hl=en_IN&amp;id=io.scventures.furaha" TargetMode="External" /><Relationship Type="http://schemas.openxmlformats.org/officeDocument/2006/relationships/hyperlink" Id="rId26" Target="https://play.google.com/store/apps/details?id=com.hamokopo.whamop" TargetMode="External" /><Relationship Type="http://schemas.openxmlformats.org/officeDocument/2006/relationships/hyperlink" Id="rId38" Target="https://scventures.io/sc-ventures-and-yabx-a-tech-mahindra-group-company-invest-10-million-to-setup-furaha-and-expand-access-to-purpose-driven-financing-in-africa/" TargetMode="External" /><Relationship Type="http://schemas.openxmlformats.org/officeDocument/2006/relationships/hyperlink" Id="rId29" Target="https://www.bot.go.tz/Adverts/PressRelease/en/2024051310172548.pdf" TargetMode="External" /><Relationship Type="http://schemas.openxmlformats.org/officeDocument/2006/relationships/hyperlink" Id="rId47" Target="https://www.centralbank.go.ke/2022/03/21/central-bank-of-kenya-digital-credit-providers-regulations-2022/" TargetMode="External" /><Relationship Type="http://schemas.openxmlformats.org/officeDocument/2006/relationships/hyperlink" Id="rId37" Target="https://www.financetrust.co.ug/wp-content/uploads/2025/11/FTB_TARRIF-GUIDE_UPDATE_OCT25.pdf" TargetMode="External" /><Relationship Type="http://schemas.openxmlformats.org/officeDocument/2006/relationships/hyperlink" Id="rId28" Target="https://www.furahaloan.site/apply/personal-details?utm_source=chatgpt.com" TargetMode="External" /><Relationship Type="http://schemas.openxmlformats.org/officeDocument/2006/relationships/hyperlink" Id="rId25" Target="https://www.odpc.go.ke/" TargetMode="External" /><Relationship Type="http://schemas.openxmlformats.org/officeDocument/2006/relationships/hyperlink" Id="rId50" Target="https://www.pegasus.co.ug/?page_id=237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2026-04-14T14:42:20Z</dcterms:created>
  <dcterms:modified xsi:type="dcterms:W3CDTF">2026-04-14T14:42:20Z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