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RNA-seq for Wet-Lab Biologists — Quick Reference Cheatsheet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4ede9"/>
                <w:sz w:val="18"/>
                <w:szCs w:val="18"/>
                <w:rtl w:val="0"/>
              </w:rPr>
              <w:t xml:space="preserve">Christos Andronis &amp; Electra Tsaglioti  |  IMBB-FORTH Bioinformatics Unit  |  ⚠️ Eukaryotic organisms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00"/>
        <w:gridCol w:w="200"/>
        <w:gridCol w:w="5300"/>
        <w:tblGridChange w:id="0">
          <w:tblGrid>
            <w:gridCol w:w="5300"/>
            <w:gridCol w:w="200"/>
            <w:gridCol w:w="5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3a6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0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1. RNA-SEQ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3900"/>
              <w:tblGridChange w:id="0">
                <w:tblGrid>
                  <w:gridCol w:w="1400"/>
                  <w:gridCol w:w="3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Raw reads (FASTQ)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FastQC · MultiQC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QC &amp; Trimming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Trim Galore · fastp · BBDuk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Alignment / Quasi-mapping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STAR · HISAT2 · Salmon · kallisto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Count Matrix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0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featureCounts · HTSeq · Salmon quant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1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Differential Expression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1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DESeq2 · edgeR · SARTools · nf-core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1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Enrichment &amp; Visualization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</w:tcPr>
                <w:p w:rsidR="00000000" w:rsidDel="00000000" w:rsidP="00000000" w:rsidRDefault="00000000" w:rsidRPr="00000000" w14:paraId="0000001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g:Profiler · Enrichr · Reactome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7a6e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1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2. QC — FASTQC KEY MODULES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3100"/>
              <w:tblGridChange w:id="0">
                <w:tblGrid>
                  <w:gridCol w:w="2200"/>
                  <w:gridCol w:w="3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Per-base quality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Stay above Q28–30; 3′ drop is normal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GC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Bell curve near expected GC% — see below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Adapter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4a5568"/>
                      <w:sz w:val="18"/>
                      <w:szCs w:val="18"/>
                      <w:rtl w:val="0"/>
                    </w:rPr>
                    <w:t xml:space="preserve">Any signal → trim before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Duplication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Some OK in RNA-seq; &gt;80% = investigate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1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Overrepresented seqs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Often adapters or rRNA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GC content patterns: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rtl w:val="0"/>
              </w:rPr>
              <w:t xml:space="preserve">✅ Normal bell curve → healthy library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⚠️ Sharp narrow peak → adapter dimers / contamination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🔴 Bimodal distribution → second organism or rRNA carryover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3a6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4. DE REPORT — KEY PLOTS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500"/>
              <w:gridCol w:w="3800"/>
              <w:tblGridChange w:id="0">
                <w:tblGrid>
                  <w:gridCol w:w="1500"/>
                  <w:gridCol w:w="3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PCA plot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Conditions separate on PC1; outliers or batch on PC2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Clustering heatmap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Samples cluster by condition; cross-clustering = red flag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p-value histogram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Spike near 0 + flat background = genuine DE signal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MA plot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Non-significant genes centred on log₂FC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Volcano plot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Top-right = up; top-left = down; top-centre = significant but small FC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after="0" w:before="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c8972a"/>
                <w:sz w:val="18"/>
                <w:szCs w:val="18"/>
                <w:rtl w:val="0"/>
              </w:rPr>
              <w:t xml:space="preserve">Standard thresholds: padj &lt; 0.05  AND  |log₂FC| ≥ 2 (4-fold change)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7a6e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3. DIFFERENTIAL EXPRESSION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4100"/>
              <w:tblGridChange w:id="0">
                <w:tblGrid>
                  <w:gridCol w:w="1200"/>
                  <w:gridCol w:w="41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DESeq2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Negative Binomial · size factor normalisation · log₂FC shrinkage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edgeR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Negative Binomial · TMM normalisation · flexible for complex designs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SARTools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R wrapper for DESeq2/edgeR · HTML/PDF report · IMBB-FORTH standard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a7a6e"/>
                      <w:sz w:val="18"/>
                      <w:szCs w:val="18"/>
                      <w:rtl w:val="0"/>
                    </w:rPr>
                    <w:t xml:space="preserve">nf-core/DA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Nextflow wrapper · DESeq2 · HPC/cloud · interactive HTML report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3a6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5. FUNCTIONAL ENRICHMENT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Key databases: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300"/>
              <w:gridCol w:w="4000"/>
              <w:tblGridChange w:id="0">
                <w:tblGrid>
                  <w:gridCol w:w="1300"/>
                  <w:gridCol w:w="4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Gene Ontology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Biological Process · Molecular Function · Cellular Component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KEGG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Metabolic &amp; signaling pathways with curated diagrams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Reactome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Manually curated human pathway 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MSigDB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50.0" w:type="dxa"/>
                    <w:left w:w="100.0" w:type="dxa"/>
                    <w:bottom w:w="50.0" w:type="dxa"/>
                    <w:right w:w="10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Curated gene sets — used primarily with GSEA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9"/>
                <w:szCs w:val="19"/>
                <w:rtl w:val="0"/>
              </w:rPr>
              <w:t xml:space="preserve">ORA vs. GSEA: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rtl w:val="0"/>
              </w:rPr>
              <w:t xml:space="preserve">ORA: supply a significant gene list (padj &lt; 0.05, |log₂FC| ≥ 2). Fisher's Exact test asks which terms appear more than expected given the background.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GSEA: uses the entire ranked gene list — no threshold needed. More powerful for subtle pathway-level shifts.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3232"/>
                <w:sz w:val="19"/>
                <w:szCs w:val="19"/>
                <w:rtl w:val="0"/>
              </w:rPr>
              <w:t xml:space="preserve">⚠️ Critical rules: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• Use EXPRESSED genes as background — not the whole genome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• Always apply FDR correction (testing thousands of terms)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• Run SEPARATELY on upregulated and downregulated gene lists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1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• Results are HYPOTHESIS-GENERATING, not hypothesis-confirming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7a6e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6. g:PROFILER — QUICK GUIDE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18"/>
                <w:szCs w:val="18"/>
                <w:rtl w:val="0"/>
              </w:rPr>
              <w:t xml:space="preserve">🌐 biit.cs.ut.ee/gprofiler → g:GOSt tab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1. Paste gene list (symbols or Ensembl IDs)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rtl w:val="0"/>
              </w:rPr>
              <w:t xml:space="preserve">2. Set Organism → Mus musculus (or your organism)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rtl w:val="0"/>
              </w:rPr>
              <w:t xml:space="preserve">3. Data sources → select GO:BP, KEGG, Reactome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a5568"/>
                <w:sz w:val="18"/>
                <w:szCs w:val="18"/>
                <w:rtl w:val="0"/>
              </w:rPr>
              <w:t xml:space="preserve">4. Significance threshold → g:SCS (default, recommended)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5. Click Run query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6. Explore Manhattan plot — click dots to see genes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7. Filter: exclude terms with &gt;500 genes (too generic)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8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a5568"/>
                <w:sz w:val="18"/>
                <w:szCs w:val="18"/>
                <w:rtl w:val="0"/>
              </w:rPr>
              <w:t xml:space="preserve">8. Repeat with downregulated list separately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300"/>
              <w:tblGridChange w:id="0">
                <w:tblGrid>
                  <w:gridCol w:w="53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3a6b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2"/>
                      <w:szCs w:val="22"/>
                      <w:rtl w:val="0"/>
                    </w:rPr>
                    <w:t xml:space="preserve">7. KEY TOOL URLS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53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3900"/>
              <w:tblGridChange w:id="0">
                <w:tblGrid>
                  <w:gridCol w:w="1400"/>
                  <w:gridCol w:w="3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6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g:Profiler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7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biit.cs.ut.ee/gprofiler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8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Enrichr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9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maayanlab.cloud/Enrichr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A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DAVID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B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davidbioinformatics.nih.gov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C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GSEA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D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gsea-msigdb.org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E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Reactome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6F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reactome.org/PathwayBrowser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0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MultiQC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1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multiqc.info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2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NCBI GEO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4f6f9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3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ncbi.nlm.nih.gov/geo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4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3a6b"/>
                      <w:sz w:val="18"/>
                      <w:szCs w:val="18"/>
                      <w:rtl w:val="0"/>
                    </w:rPr>
                    <w:t xml:space="preserve">NCBI SRA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2e8f0" w:space="0" w:sz="4" w:val="single"/>
                    <w:left w:color="e2e8f0" w:space="0" w:sz="4" w:val="single"/>
                    <w:bottom w:color="e2e8f0" w:space="0" w:sz="4" w:val="single"/>
                    <w:right w:color="e2e8f0" w:space="0" w:sz="4" w:val="single"/>
                  </w:tcBorders>
                  <w:shd w:fill="ffffff" w:val="clear"/>
                  <w:tcMar>
                    <w:top w:w="40.0" w:type="dxa"/>
                    <w:left w:w="100.0" w:type="dxa"/>
                    <w:bottom w:w="40.0" w:type="dxa"/>
                    <w:right w:w="100.0" w:type="dxa"/>
                  </w:tcMar>
                </w:tcPr>
                <w:p w:rsidR="00000000" w:rsidDel="00000000" w:rsidP="00000000" w:rsidRDefault="00000000" w:rsidRPr="00000000" w14:paraId="00000075">
                  <w:pPr>
                    <w:spacing w:after="0" w:before="0" w:lineRule="auto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color w:val="4a5568"/>
                      <w:sz w:val="18"/>
                      <w:szCs w:val="18"/>
                      <w:rtl w:val="0"/>
                    </w:rPr>
                    <w:t xml:space="preserve">ncbi.nlm.nih.gov/sra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d4ede9"/>
                <w:sz w:val="16"/>
                <w:szCs w:val="16"/>
                <w:rtl w:val="0"/>
              </w:rPr>
              <w:t xml:space="preserve">Full curriculum: available in the workshop GitHub repository  |  IMBB-FORTH Bioinformatics Unit  |  Eukaryotic organisms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7a6e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