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pPr>
        <w:spacing w:before="360" w:after="120" w:line="276" w:lineRule="auto"/>
        <w:jc w:val="left"/>
      </w:pPr>
      <w:r>
        <w:rPr>
          <w:rFonts w:ascii="Times New Roman" w:hAnsi="Times New Roman"/>
          <w:b/>
          <w:i w:val="0"/>
          <w:color w:val="000000"/>
          <w:sz w:val="28"/>
        </w:rPr>
        <w:t>4. Physics-Informed Feature Engineering</w:t>
      </w:r>
    </w:p>
    <w:p>
      <w:pPr>
        <w:spacing w:before="240" w:after="80" w:line="276" w:lineRule="auto"/>
        <w:jc w:val="left"/>
      </w:pPr>
      <w:r>
        <w:rPr>
          <w:rFonts w:ascii="Times New Roman" w:hAnsi="Times New Roman"/>
          <w:b/>
          <w:i w:val="0"/>
          <w:color w:val="000000"/>
          <w:sz w:val="24"/>
        </w:rPr>
        <w:t>4.1 Domain-Guided Feature Selection</w:t>
      </w:r>
    </w:p>
    <w:p>
      <w:pPr>
        <w:spacing w:before="0" w:after="120" w:line="276" w:lineRule="auto"/>
        <w:jc w:val="left"/>
      </w:pPr>
      <w:r>
        <w:rPr>
          <w:rFonts w:ascii="Times New Roman" w:hAnsi="Times New Roman"/>
          <w:b w:val="0"/>
          <w:i w:val="0"/>
          <w:color w:val="000000"/>
          <w:sz w:val="24"/>
        </w:rPr>
        <w:t>Feature engineering process to predict remaining useful life of batteries fills the gap between the raw sensor time series data and degradation mechanisms in terms of electrochemistry [6], [11]. Instead of applying uncalibrated values of voltage and current data, which requires the model to figure out the complex thermodynamic process on its own [10], [18], we come up with eight features related to the known degradation mechanisms such as loss of active materials, SEI formation, or lithium plating [16], [17]. Thus, we introduce our knowledge into the set of features and reduce the dimensionality of the problem [6], [11].</w:t>
      </w:r>
    </w:p>
    <w:p>
      <w:pPr>
        <w:spacing w:before="120" w:after="240" w:line="276" w:lineRule="auto"/>
        <w:jc w:val="center"/>
      </w:pPr>
      <w:r>
        <w:rPr>
          <w:rFonts w:ascii="Times New Roman" w:hAnsi="Times New Roman"/>
          <w:b w:val="0"/>
          <w:i/>
          <w:color w:val="000000"/>
          <w:sz w:val="23"/>
          <w:highlight w:val="yellow"/>
        </w:rPr>
        <w:t>Table 1 Physics-Informed Feature Set and Computation Formulas</w:t>
      </w:r>
    </w:p>
    <w:p>
      <w:pPr>
        <w:spacing w:before="240" w:after="80" w:line="276" w:lineRule="auto"/>
        <w:jc w:val="left"/>
      </w:pPr>
      <w:r>
        <w:rPr>
          <w:rFonts w:ascii="Times New Roman" w:hAnsi="Times New Roman"/>
          <w:b/>
          <w:i w:val="0"/>
          <w:color w:val="000000"/>
          <w:sz w:val="24"/>
        </w:rPr>
        <w:t>4.2 Rolling-Window Formulation and Interval Analysis</w:t>
      </w:r>
    </w:p>
    <w:p>
      <w:pPr>
        <w:spacing w:before="0" w:after="120" w:line="276" w:lineRule="auto"/>
        <w:jc w:val="left"/>
      </w:pPr>
      <w:r>
        <w:rPr>
          <w:rFonts w:ascii="Times New Roman" w:hAnsi="Times New Roman"/>
          <w:b w:val="0"/>
          <w:i w:val="0"/>
          <w:color w:val="000000"/>
          <w:sz w:val="24"/>
        </w:rPr>
        <w:t>For the purpose of modeling the evolution of battery aging without putting a strain on the onboard microcontrollers [10], [18], calculations for all eight characteristics will be carried out within a moving window of ten consecutive charge-discharge cycles [1], [6]. Empirical research proves the fact that a window of ten cycles is the optimal operating range [1], [5]. Windows which contain less than ten cycles, i.e. windows from three to five cycles, are influenced by too much statistical noise due to the variability of sensors and temperature changes [10], [18]. Meanwhile, windows containing more than ten cycles, for example twenty or fifty cycles, oversimplify the rate of degradation locally [1], [5].</w:t>
      </w:r>
    </w:p>
    <w:p>
      <w:pPr>
        <w:spacing w:before="120" w:after="240" w:line="276" w:lineRule="auto"/>
        <w:jc w:val="center"/>
      </w:pPr>
      <w:r>
        <w:rPr>
          <w:rFonts w:ascii="Times New Roman" w:hAnsi="Times New Roman"/>
          <w:b w:val="0"/>
          <w:i/>
          <w:color w:val="000000"/>
          <w:sz w:val="23"/>
          <w:highlight w:val="yellow"/>
        </w:rPr>
        <w:t>Table 2 Rolling Lookback Window (W ) Sensitivity Analysis</w:t>
      </w:r>
    </w:p>
    <w:p>
      <w:pPr>
        <w:spacing w:before="240" w:after="80" w:line="276" w:lineRule="auto"/>
        <w:jc w:val="left"/>
      </w:pPr>
      <w:r>
        <w:rPr>
          <w:rFonts w:ascii="Times New Roman" w:hAnsi="Times New Roman"/>
          <w:b/>
          <w:i w:val="0"/>
          <w:color w:val="000000"/>
          <w:sz w:val="24"/>
        </w:rPr>
        <w:t>4.3 Incremental Capacity Log-Variance as an Early Sentinel</w:t>
      </w:r>
    </w:p>
    <w:p>
      <w:pPr>
        <w:spacing w:before="0" w:after="120" w:line="276" w:lineRule="auto"/>
        <w:jc w:val="left"/>
      </w:pPr>
      <w:r>
        <w:rPr>
          <w:rFonts w:ascii="Times New Roman" w:hAnsi="Times New Roman"/>
          <w:b w:val="0"/>
          <w:i w:val="0"/>
          <w:color w:val="000000"/>
          <w:sz w:val="24"/>
        </w:rPr>
        <w:t>Among these eight engineering indicators, the logarithmic variance of the incremental capacity profile serves as the most dependable early indicator, which makes the proposed system distinct from conventional State of Health monitoring techniques [1], [9]. The incremental capacity measurement uses differential capacity with respect to voltage (dQ/dV) [9], [11]. This way, the open circuit voltage plateaus are converted to electrochemical phase transition peaks [1], [9]. During the lifespan of a lithium iron phosphate battery, the depletion of active lithium content and the lattice strain result in decrease of sharpness of the phase transition peaks [16], [17]. Monitoring the logarithmic variance of the dQ/dV profile allows identifying the broadening tens of cycles before any changes in capacity can be observed [1], [11].</w:t>
      </w:r>
    </w:p>
    <w:p>
      <w:pPr>
        <w:spacing w:before="240" w:after="80" w:line="276" w:lineRule="auto"/>
        <w:jc w:val="left"/>
      </w:pPr>
      <w:r>
        <w:rPr>
          <w:rFonts w:ascii="Times New Roman" w:hAnsi="Times New Roman"/>
          <w:b/>
          <w:i w:val="0"/>
          <w:color w:val="000000"/>
          <w:sz w:val="24"/>
        </w:rPr>
        <w:t>4.4 Feature Gain Analysis and Electrochemical Link</w:t>
      </w:r>
    </w:p>
    <w:p>
      <w:pPr>
        <w:spacing w:before="0" w:after="120" w:line="276" w:lineRule="auto"/>
        <w:jc w:val="left"/>
      </w:pPr>
      <w:r>
        <w:rPr>
          <w:rFonts w:ascii="Times New Roman" w:hAnsi="Times New Roman"/>
          <w:b w:val="0"/>
          <w:i w:val="0"/>
          <w:color w:val="000000"/>
          <w:sz w:val="24"/>
        </w:rPr>
        <w:t>As revealed by the gradient-boosted feature gain analysis, the internal resistance (IR) is the predominating variable of the set of features for constructing our decision trees with almost more than thirty-five percent of total split gains, which is quite evident from Fig. 1 [10], [18]. Such an empirical ranking gives compelling numerical evidence validating the physical theory of our model [6], [16]. For commercial lithium iron phosphate batteries, the internal resistance increases progressively due to the formation and growth of the solid electrolyte interface (SEI) layer and gradual depletion of the conducting electrolyte [16], [17]. Importantly, such feature-based dominance of IR gives a direct validation and prediction to our Equivalent Circuit Model (ECM) physics verification in Section VI [2], [3]. As shown in later migration analysis of first-order pole-zero pairs, the cell ohmic resistance (R0) doubles from the healthy to the aged states, validating the fact that the LightGBM algorithm has independently identified the major physical phenomenon causing battery end-of-life [10], [16].</w:t>
      </w:r>
    </w:p>
    <w:p>
      <w:pPr>
        <w:spacing w:before="120" w:after="240" w:line="276" w:lineRule="auto"/>
        <w:jc w:val="center"/>
      </w:pPr>
      <w:r>
        <w:rPr>
          <w:rFonts w:ascii="Times New Roman" w:hAnsi="Times New Roman"/>
          <w:b w:val="0"/>
          <w:i/>
          <w:color w:val="000000"/>
          <w:sz w:val="23"/>
          <w:highlight w:val="yellow"/>
        </w:rPr>
        <w:t>Fig. 1 LightGBM Feature Importance ranking by split count across the eight physics-informed parameters. Internal resistance (IR) clearly dominates the tree decision hierarchy, providing empirical justification for the Equivalent Circuit Model (ECM) physics verification investigated in Section VI.</w:t>
      </w:r>
    </w:p>
    <w:p>
      <w:pPr>
        <w:spacing w:before="360" w:after="120" w:line="276" w:lineRule="auto"/>
        <w:jc w:val="left"/>
      </w:pPr>
      <w:r>
        <w:rPr>
          <w:rFonts w:ascii="Times New Roman" w:hAnsi="Times New Roman"/>
          <w:b/>
          <w:i w:val="0"/>
          <w:color w:val="000000"/>
          <w:sz w:val="28"/>
        </w:rPr>
        <w:t>5. Methodology and Validation Framework</w:t>
      </w:r>
    </w:p>
    <w:p>
      <w:pPr>
        <w:spacing w:before="240" w:after="80" w:line="276" w:lineRule="auto"/>
        <w:jc w:val="left"/>
      </w:pPr>
      <w:r>
        <w:rPr>
          <w:rFonts w:ascii="Times New Roman" w:hAnsi="Times New Roman"/>
          <w:b/>
          <w:i w:val="0"/>
          <w:color w:val="000000"/>
          <w:sz w:val="24"/>
        </w:rPr>
        <w:t>5.1 LightGBM Model Architecture and Tabular Rationale</w:t>
      </w:r>
    </w:p>
    <w:p>
      <w:pPr>
        <w:spacing w:before="0" w:after="120" w:line="276" w:lineRule="auto"/>
        <w:jc w:val="left"/>
      </w:pPr>
      <w:r>
        <w:rPr>
          <w:rFonts w:ascii="Times New Roman" w:hAnsi="Times New Roman"/>
          <w:b w:val="0"/>
          <w:i w:val="0"/>
          <w:color w:val="000000"/>
          <w:sz w:val="24"/>
        </w:rPr>
        <w:t>Prognostic models for automotive embedded systems need to be effective in terms of both predictive performance and efficiency [10], [18]. Despite the success of Long Short-Term Memory networks in estimating the lifetime of batteries [7], [8], they employ complex matrix multiplication for computing input streams [8]. Deep recurrent networks require excessive memory overhead and inference times in automotive control units [8], [10]. In contrast, gradient boosting techniques of decision trees, especially in the case of LightGBM model, have shown better performance when applied to structured tabular data [10], [11], [18]. LightGBM operates on histogram-based binning of continuous variables and performs tree building in a leaf-wise fashion with depth limit, which leads to a much faster inference than neural networks [11], [18].</w:t>
      </w:r>
    </w:p>
    <w:p>
      <w:pPr>
        <w:spacing w:before="0" w:after="120" w:line="276" w:lineRule="auto"/>
        <w:jc w:val="left"/>
      </w:pPr>
      <w:r>
        <w:rPr>
          <w:rFonts w:ascii="Times New Roman" w:hAnsi="Times New Roman"/>
          <w:b w:val="0"/>
          <w:i w:val="0"/>
          <w:color w:val="000000"/>
          <w:sz w:val="24"/>
        </w:rPr>
        <w:t>To improve the efficiency of the model in the presence of noise in automotive hardware, a set of hyperparameter tuning tests was conducted using five different configurations [10], [18]. As can be seen in Table 3, the first configuration with 100 trees, 15 leaves, and learning rate 0.10 was a typical case of serious underfitting because its MAE 90.99 cycles failed to represent sharp drops in capacity [1]. However, Config 2 with 600 trees and 127 leaves suffered from overfitting of noise in training data and created complex models that were not suitable for automotive hardware [10], [18]. Finally, Config 4 with 300 estimators, 31 maximum leaves, and a low learning rate of 0.05 was selected as the best industrial configuration with 78.52% of accuracy (MAE 81.35) [11], [18].</w:t>
      </w:r>
    </w:p>
    <w:p>
      <w:pPr>
        <w:spacing w:before="120" w:after="240" w:line="276" w:lineRule="auto"/>
        <w:jc w:val="center"/>
      </w:pPr>
      <w:r>
        <w:rPr>
          <w:rFonts w:ascii="Times New Roman" w:hAnsi="Times New Roman"/>
          <w:b w:val="0"/>
          <w:i/>
          <w:color w:val="000000"/>
          <w:sz w:val="23"/>
          <w:highlight w:val="yellow"/>
        </w:rPr>
        <w:t>Table 3 LightGBM Hyperparameter Tuning Experiments</w:t>
      </w:r>
    </w:p>
    <w:p>
      <w:pPr>
        <w:spacing w:before="240" w:after="80" w:line="276" w:lineRule="auto"/>
        <w:jc w:val="left"/>
      </w:pPr>
      <w:r>
        <w:rPr>
          <w:rFonts w:ascii="Times New Roman" w:hAnsi="Times New Roman"/>
          <w:b/>
          <w:i w:val="0"/>
          <w:color w:val="000000"/>
          <w:sz w:val="24"/>
        </w:rPr>
        <w:t>5.2 Grouped Leave-Cells-Out Validation</w:t>
      </w:r>
    </w:p>
    <w:p>
      <w:pPr>
        <w:spacing w:before="0" w:after="120" w:line="276" w:lineRule="auto"/>
        <w:jc w:val="left"/>
      </w:pPr>
      <w:r>
        <w:rPr>
          <w:rFonts w:ascii="Times New Roman" w:hAnsi="Times New Roman"/>
          <w:b w:val="0"/>
          <w:i w:val="0"/>
          <w:color w:val="000000"/>
          <w:sz w:val="24"/>
        </w:rPr>
        <w:t>There is a considerable leakage in time-series battery data using the classical k-fold cross-validation procedure [5]. When the same physical battery’s cycles are assigned to training and testing sets randomly, the model acquires high accuracy through interpolation between adjacent cycles [5]. In order to prevent any leakage, GroupShuffleSplit validation is employed at the level of physical cells [1], [5]. In particular, 124 commercial LFP cells are divided into 100 cells assigned to training and 24 cells assigned to testing [1]. As can be seen from the training flow architecture (Fig. 2), the testing vault is out of bounds during model training and tuning [1], [5].</w:t>
      </w:r>
    </w:p>
    <w:p>
      <w:pPr>
        <w:spacing w:before="120" w:after="240" w:line="276" w:lineRule="auto"/>
        <w:jc w:val="center"/>
      </w:pPr>
      <w:r>
        <w:rPr>
          <w:rFonts w:ascii="Times New Roman" w:hAnsi="Times New Roman"/>
          <w:b w:val="0"/>
          <w:i/>
          <w:color w:val="000000"/>
          <w:sz w:val="23"/>
          <w:highlight w:val="yellow"/>
        </w:rPr>
        <w:t>Fig. 2 Training and validation flow architecture illustrating leakage-free GroupShuffleSplit at the physical cell level. The 24 test evaluation batteries remain strictly unseen during LightGBM model training, serving as an unbiased out-of-sample benchmark.</w:t>
      </w:r>
    </w:p>
    <w:p>
      <w:pPr>
        <w:spacing w:before="240" w:after="80" w:line="276" w:lineRule="auto"/>
        <w:jc w:val="left"/>
      </w:pPr>
      <w:r>
        <w:rPr>
          <w:rFonts w:ascii="Times New Roman" w:hAnsi="Times New Roman"/>
          <w:b/>
          <w:i w:val="0"/>
          <w:color w:val="000000"/>
          <w:sz w:val="24"/>
        </w:rPr>
        <w:t>5.3 Conformal Prediction for Uncertainty Quantification</w:t>
      </w:r>
    </w:p>
    <w:p>
      <w:pPr>
        <w:spacing w:before="0" w:after="120" w:line="276" w:lineRule="auto"/>
        <w:jc w:val="left"/>
      </w:pPr>
      <w:r>
        <w:rPr>
          <w:rFonts w:ascii="Times New Roman" w:hAnsi="Times New Roman"/>
          <w:b w:val="0"/>
          <w:i w:val="0"/>
          <w:color w:val="000000"/>
          <w:sz w:val="24"/>
        </w:rPr>
        <w:t>The point estimates of remaining useful life do not have sufficient predictive value for safety-critical algorithms for vehicle controllers without mathematics-based uncertainty bounds [14], [15]. For reliable systems, the technique makes use of split conformal prediction to create valid prediction intervals [14], [19]. In split conformal prediction, the nonconformity scores are tuned using the out-of-fold calibration errors that are independent of the 24 test cells [14], [19]. Specifically, the absolute prediction errors in the validation cell are used to compute the empirical error quantile of 90th percentile as 122 cycles [19]. The calibrated bound creates a safety interval of ±122 cycles around the LightGBM point estimate [19]. Unlike the Bayesian neural networks with the assumption of Gaussian error distribution [15], conformal prediction ensures valid coverage even with trajectory skewness [14], [19].</w:t>
      </w:r>
    </w:p>
    <w:p>
      <w:pPr>
        <w:spacing w:before="240" w:after="80" w:line="276" w:lineRule="auto"/>
        <w:jc w:val="left"/>
      </w:pPr>
      <w:r>
        <w:rPr>
          <w:rFonts w:ascii="Times New Roman" w:hAnsi="Times New Roman"/>
          <w:b/>
          <w:i w:val="0"/>
          <w:color w:val="000000"/>
          <w:sz w:val="24"/>
        </w:rPr>
        <w:t>5.4 Checkpoint Polling Interval Selection</w:t>
      </w:r>
    </w:p>
    <w:p>
      <w:pPr>
        <w:spacing w:before="0" w:after="120" w:line="276" w:lineRule="auto"/>
        <w:jc w:val="left"/>
      </w:pPr>
      <w:r>
        <w:rPr>
          <w:rFonts w:ascii="Times New Roman" w:hAnsi="Times New Roman"/>
          <w:b w:val="0"/>
          <w:i w:val="0"/>
          <w:color w:val="000000"/>
          <w:sz w:val="24"/>
        </w:rPr>
        <w:t>The problem of how often the diagnostics of polling is performed by the Battery Management System onboard relates to the tradeoff between computation of the microcontroller and trajectory reactivity [10], [18]. Diagnostics in each cycle is the unnecessary computation waste on static plateaus, but too few polls will cause missing diagnostics [10], [18]. Below is presented the analysis of polling intervals done for 22,474 checkpoints with 5, 10, 15, 20, and 50 cycles [1], [18].</w:t>
      </w:r>
    </w:p>
    <w:p>
      <w:pPr>
        <w:spacing w:before="120" w:after="240" w:line="276" w:lineRule="auto"/>
        <w:jc w:val="center"/>
      </w:pPr>
      <w:r>
        <w:rPr>
          <w:rFonts w:ascii="Times New Roman" w:hAnsi="Times New Roman"/>
          <w:b w:val="0"/>
          <w:i/>
          <w:color w:val="000000"/>
          <w:sz w:val="23"/>
          <w:highlight w:val="yellow"/>
        </w:rPr>
        <w:t>Table 4 Checkpoint Polling Interval Evaluation Table</w:t>
      </w:r>
    </w:p>
    <w:p>
      <w:pPr>
        <w:spacing w:before="0" w:after="120" w:line="276" w:lineRule="auto"/>
        <w:jc w:val="left"/>
      </w:pPr>
      <w:r>
        <w:rPr>
          <w:rFonts w:ascii="Times New Roman" w:hAnsi="Times New Roman"/>
          <w:b w:val="0"/>
          <w:i w:val="0"/>
          <w:color w:val="000000"/>
          <w:sz w:val="24"/>
        </w:rPr>
        <w:t>Table 4 and Figure 3 illustrate convincingly that the 5-cycle polling resolution is an optimal solution balancing performance and responsiveness [10], [18]. Although the very scarce 20-cycle polling approach provides some advantage regarding the mean error in the situation of stable plateaus, it produces dangerous “blind zones” during one to three weeks of road operation under realistic conditions [10], [18]. Toward the end of the life cycle, LFP batteries experience non-linear capacity losses when their capacity drops to the threshold level of 80% within 15 cycles [1], [16]. As a result, the 20-cycle polling resolution enables the battery cell to die without being detected by the algorithm [10], [18].</w:t>
      </w:r>
    </w:p>
    <w:p>
      <w:pPr>
        <w:spacing w:before="120" w:after="240" w:line="276" w:lineRule="auto"/>
        <w:jc w:val="center"/>
      </w:pPr>
      <w:r>
        <w:rPr>
          <w:rFonts w:ascii="Times New Roman" w:hAnsi="Times New Roman"/>
          <w:b w:val="0"/>
          <w:i/>
          <w:color w:val="000000"/>
          <w:sz w:val="23"/>
          <w:highlight w:val="yellow"/>
        </w:rPr>
        <w:t>Fig. 3 Comparison of diagnostic responsiveness between high-resolution 5-cycle polling (left) and sparse 20-cycle polling (right). Polling every 20 cycles introduces a severe inspection blind spot during the non-linear aging plunge, allowing a cell to drop below the safety threshold unmonitored</w:t>
      </w:r>
    </w:p>
    <w:p>
      <w:pPr>
        <w:spacing w:before="360" w:after="120" w:line="276" w:lineRule="auto"/>
        <w:jc w:val="left"/>
      </w:pPr>
      <w:r>
        <w:rPr>
          <w:rFonts w:ascii="Times New Roman" w:hAnsi="Times New Roman"/>
          <w:b/>
          <w:i w:val="0"/>
          <w:color w:val="000000"/>
          <w:sz w:val="28"/>
        </w:rPr>
        <w:t>6. Control Systems Physics Verification</w:t>
      </w:r>
    </w:p>
    <w:p>
      <w:pPr>
        <w:spacing w:before="240" w:after="80" w:line="276" w:lineRule="auto"/>
        <w:jc w:val="left"/>
      </w:pPr>
      <w:r>
        <w:rPr>
          <w:rFonts w:ascii="Times New Roman" w:hAnsi="Times New Roman"/>
          <w:b/>
          <w:i w:val="0"/>
          <w:color w:val="000000"/>
          <w:sz w:val="24"/>
        </w:rPr>
        <w:t>6.1 First-Order Transfer Function Formulation</w:t>
      </w:r>
    </w:p>
    <w:p>
      <w:pPr>
        <w:spacing w:before="0" w:after="120" w:line="276" w:lineRule="auto"/>
        <w:jc w:val="left"/>
      </w:pPr>
      <w:r>
        <w:rPr>
          <w:rFonts w:ascii="Times New Roman" w:hAnsi="Times New Roman"/>
          <w:b w:val="0"/>
          <w:i w:val="0"/>
          <w:color w:val="000000"/>
          <w:sz w:val="24"/>
        </w:rPr>
        <w:t>The main limitation associated with a purely data-based ML model is the lack of verification of the internal electrochemical stability of the battery system [2], [3]. In order to incorporate the empirical estimation of RUL along with theoretical electrochemistry, the LightGBM model is validated using the equivalent circuit model transfer function based on first order dynamics [3], [10]. Through the application of the Laplace transform to the continuous-time differential equation of the circuit model, the transfer function H(s) of the system can be represented as follows:</w:t>
      </w:r>
    </w:p>
    <w:p>
      <w:pPr>
        <w:spacing w:before="120" w:after="120" w:line="276" w:lineRule="auto"/>
        <w:jc w:val="center"/>
      </w:pPr>
      <w:r>
        <w:rPr>
          <w:rFonts w:ascii="Times New Roman" w:hAnsi="Times New Roman"/>
          <w:b/>
          <w:i w:val="0"/>
          <w:color w:val="000000"/>
          <w:sz w:val="24"/>
        </w:rPr>
        <w:t>H(s) = R0 + R1 / (1 + τ s) = R0 · (s + z1) / (s + p1)   (2)</w:t>
      </w:r>
    </w:p>
    <w:p>
      <w:pPr>
        <w:spacing w:before="0" w:after="120" w:line="276" w:lineRule="auto"/>
        <w:jc w:val="left"/>
      </w:pPr>
      <w:r>
        <w:rPr>
          <w:rFonts w:ascii="Times New Roman" w:hAnsi="Times New Roman"/>
          <w:b w:val="0"/>
          <w:i w:val="0"/>
          <w:color w:val="000000"/>
          <w:sz w:val="24"/>
        </w:rPr>
        <w:t>where R0 is the instantaneous ohmic resistance, R1 is the polarization resistance, and τ = R1C1 is the RC time constant due to charge transfer polarization [3], [16]. The poles and zeros of the transfer function are located in the s-plane, with the discrete system pole at p1 = -1/τ and its corresponding zero at z1 = -(R0 + R1)/(R0τ ) [16], [17].</w:t>
      </w:r>
    </w:p>
    <w:p>
      <w:pPr>
        <w:spacing w:before="240" w:after="80" w:line="276" w:lineRule="auto"/>
        <w:jc w:val="left"/>
      </w:pPr>
      <w:r>
        <w:rPr>
          <w:rFonts w:ascii="Times New Roman" w:hAnsi="Times New Roman"/>
          <w:b/>
          <w:i w:val="0"/>
          <w:color w:val="000000"/>
          <w:sz w:val="24"/>
        </w:rPr>
        <w:t>6.2 Live Pole-Zero Migration Analysis on Unseen Test Cell</w:t>
      </w:r>
    </w:p>
    <w:p>
      <w:pPr>
        <w:spacing w:before="0" w:after="120" w:line="276" w:lineRule="auto"/>
        <w:jc w:val="left"/>
      </w:pPr>
      <w:r>
        <w:rPr>
          <w:rFonts w:ascii="Times New Roman" w:hAnsi="Times New Roman"/>
          <w:b w:val="0"/>
          <w:i w:val="0"/>
          <w:color w:val="000000"/>
          <w:sz w:val="24"/>
        </w:rPr>
        <w:t>To ensure that the real-world physics is behaving correctly, the system transfer function for the system was recorded over the lifetime of the testing cell 2017-05-12 cell 12 [1]. While the system was working normally in cycle 12, it produced the transfer function below:</w:t>
      </w:r>
    </w:p>
    <w:p>
      <w:pPr>
        <w:spacing w:before="120" w:after="120" w:line="276" w:lineRule="auto"/>
        <w:jc w:val="center"/>
      </w:pPr>
      <w:r>
        <w:rPr>
          <w:rFonts w:ascii="Times New Roman" w:hAnsi="Times New Roman"/>
          <w:b/>
          <w:i w:val="0"/>
          <w:color w:val="000000"/>
          <w:sz w:val="24"/>
        </w:rPr>
        <w:t>H(s) = 0.0162 + 0.0195 / (1 + 7.78s) .   (3)</w:t>
      </w:r>
    </w:p>
    <w:p>
      <w:pPr>
        <w:spacing w:before="0" w:after="120" w:line="276" w:lineRule="auto"/>
        <w:jc w:val="left"/>
      </w:pPr>
      <w:r>
        <w:rPr>
          <w:rFonts w:ascii="Times New Roman" w:hAnsi="Times New Roman"/>
          <w:b w:val="0"/>
          <w:i w:val="0"/>
          <w:color w:val="000000"/>
          <w:sz w:val="24"/>
        </w:rPr>
        <w:t>Here, the system exhibits a stable real pole p1 = −0.1285 rad/s and a zero z1 = −0.2827 rad/s on the left hand side of the s-plane [16]. As the battery is undergoing repeated fast charge cycles, there is significant thickening of SEI film and reduction in lithium concentration in the battery [1], [16], [17]. When the battery is operating with 867 charge/discharge cycles, nearing the end of life cycle, there is doubling of ohmic resistance causing a transformation in the transfer function of the system as:</w:t>
      </w:r>
    </w:p>
    <w:p>
      <w:pPr>
        <w:spacing w:before="120" w:after="120" w:line="276" w:lineRule="auto"/>
        <w:jc w:val="center"/>
      </w:pPr>
      <w:r>
        <w:rPr>
          <w:rFonts w:ascii="Times New Roman" w:hAnsi="Times New Roman"/>
          <w:b/>
          <w:i w:val="0"/>
          <w:color w:val="000000"/>
          <w:sz w:val="24"/>
        </w:rPr>
        <w:t>H(s) = 0.0196 + 0.0310 / (1 + 10.02s) .   (4)</w:t>
      </w:r>
    </w:p>
    <w:p>
      <w:pPr>
        <w:spacing w:before="0" w:after="120" w:line="276" w:lineRule="auto"/>
        <w:jc w:val="left"/>
      </w:pPr>
      <w:r>
        <w:rPr>
          <w:rFonts w:ascii="Times New Roman" w:hAnsi="Times New Roman"/>
          <w:b w:val="0"/>
          <w:i w:val="0"/>
          <w:color w:val="000000"/>
          <w:sz w:val="24"/>
        </w:rPr>
        <w:t>Due to increasing electrochemical time constant τ to 10.02 second due to high interfacial impedance, the system pole shifts right to −0.0998 rad/s from −0.1285 rad/s on s-plane as shown in Fig. 4 [16], [17].</w:t>
      </w:r>
    </w:p>
    <w:p>
      <w:pPr>
        <w:spacing w:before="120" w:after="240" w:line="276" w:lineRule="auto"/>
        <w:jc w:val="center"/>
      </w:pPr>
      <w:r>
        <w:rPr>
          <w:rFonts w:ascii="Times New Roman" w:hAnsi="Times New Roman"/>
          <w:b w:val="0"/>
          <w:i/>
          <w:color w:val="000000"/>
          <w:sz w:val="23"/>
          <w:highlight w:val="yellow"/>
        </w:rPr>
        <w:t>Fig. 4 Complex s-plane pole-zero migration tracking severe interfacial impedance growth across the operational lifetime of unseen evaluation test cell 2017-05-12 cell 12. As ohmic resistance doubles, the system pole migrates rightward toward the instability boundary</w:t>
      </w:r>
    </w:p>
    <w:p>
      <w:pPr>
        <w:spacing w:before="240" w:after="80" w:line="276" w:lineRule="auto"/>
        <w:jc w:val="left"/>
      </w:pPr>
      <w:r>
        <w:rPr>
          <w:rFonts w:ascii="Times New Roman" w:hAnsi="Times New Roman"/>
          <w:b/>
          <w:i w:val="0"/>
          <w:color w:val="000000"/>
          <w:sz w:val="24"/>
        </w:rPr>
        <w:t>6.3 Closing the Loop: Electrochemical Correlation with Feature Gain</w:t>
      </w:r>
    </w:p>
    <w:p>
      <w:pPr>
        <w:spacing w:before="0" w:after="120" w:line="276" w:lineRule="auto"/>
        <w:jc w:val="left"/>
      </w:pPr>
      <w:r>
        <w:rPr>
          <w:rFonts w:ascii="Times New Roman" w:hAnsi="Times New Roman"/>
          <w:b w:val="0"/>
          <w:i w:val="0"/>
          <w:color w:val="000000"/>
          <w:sz w:val="24"/>
        </w:rPr>
        <w:t>The moving of the pole and zero around the s-plane constitutes physical proof of the relationship between the predicted ML model and the actual physical electrochemical degradation process [2], [3], [16]. From the analysis of the feature gain obtained from the LightGBM in Section IV, it becomes clear that the internal resistance (IR) is the dominant parameter contributing over 35% to the split in the decision trees [10], [18]. The move of the system pole, p1, in the s-plane is an analogy to the beating of the heart, serving as mathematical proof of why the internal resistance causes the battery’s degradation [16], [17]. This is due to the IR doubling from the increase in the thickness of the SEI layer [16], [17].</w:t>
      </w:r>
    </w:p>
    <w:p>
      <w:pPr>
        <w:spacing w:before="360" w:after="120" w:line="276" w:lineRule="auto"/>
        <w:jc w:val="left"/>
      </w:pPr>
      <w:r>
        <w:rPr>
          <w:rFonts w:ascii="Times New Roman" w:hAnsi="Times New Roman"/>
          <w:b/>
          <w:i w:val="0"/>
          <w:color w:val="000000"/>
          <w:sz w:val="28"/>
        </w:rPr>
        <w:t>7. Empirical Results and Discussion</w:t>
      </w:r>
    </w:p>
    <w:p>
      <w:pPr>
        <w:spacing w:before="240" w:after="80" w:line="276" w:lineRule="auto"/>
        <w:jc w:val="left"/>
      </w:pPr>
      <w:r>
        <w:rPr>
          <w:rFonts w:ascii="Times New Roman" w:hAnsi="Times New Roman"/>
          <w:b/>
          <w:i w:val="0"/>
          <w:color w:val="000000"/>
          <w:sz w:val="24"/>
        </w:rPr>
        <w:t>7.1 Regression Performance across Unseen Test Cohort</w:t>
      </w:r>
    </w:p>
    <w:p>
      <w:pPr>
        <w:spacing w:before="0" w:after="120" w:line="276" w:lineRule="auto"/>
        <w:jc w:val="left"/>
      </w:pPr>
      <w:r>
        <w:rPr>
          <w:rFonts w:ascii="Times New Roman" w:hAnsi="Times New Roman"/>
          <w:b w:val="0"/>
          <w:i w:val="0"/>
          <w:color w:val="000000"/>
          <w:sz w:val="24"/>
        </w:rPr>
        <w:t>For a comprehensive performance evaluation of the prediction algorithm’s generalization capabilities, the predictive ability of the gradient boosting LightGBM prediction model was analyzed based on the 24 commercial LFP batteries that were strictly hidden using GroupShuffleSplit [1], [5]. The empirical regression scores achieved by the training and test samples are shown in Table 5 [11]. The prediction algorithm predicts a Mean Absolute Error (MAE) of 48.70 cycles and an R2 score of 95.74% for the 100 training battery cells [11], [18]. However, the out-of-the-sample test battery cells, comprising a total of 4,234 data points, have an MAE of 81.35 cycles and an R2 of 78.52% [1], [11].</w:t>
      </w:r>
    </w:p>
    <w:p>
      <w:pPr>
        <w:spacing w:before="120" w:after="240" w:line="276" w:lineRule="auto"/>
        <w:jc w:val="center"/>
      </w:pPr>
      <w:r>
        <w:rPr>
          <w:rFonts w:ascii="Times New Roman" w:hAnsi="Times New Roman"/>
          <w:b w:val="0"/>
          <w:i/>
          <w:color w:val="000000"/>
          <w:sz w:val="23"/>
          <w:highlight w:val="yellow"/>
        </w:rPr>
        <w:t>Table 5 Unseen Test Cohort Validation Performance</w:t>
      </w:r>
    </w:p>
    <w:p>
      <w:pPr>
        <w:spacing w:before="0" w:after="120" w:line="276" w:lineRule="auto"/>
        <w:jc w:val="left"/>
      </w:pPr>
      <w:r>
        <w:rPr>
          <w:rFonts w:ascii="Times New Roman" w:hAnsi="Times New Roman"/>
          <w:b w:val="0"/>
          <w:i w:val="0"/>
          <w:color w:val="000000"/>
          <w:sz w:val="24"/>
        </w:rPr>
        <w:t>As can be seen from the scatterplot of parity (Fig. 5), predictions show strong correlation to the ideal prediction line through all of the cycle lifetime [11], [18]. It is expected and scientifically correct that there should be some performance discrepancy between training (48.70 MAE) and test set (81.35 MAE) [5]. That is because in contrast to naive k-fold split, that interpolates consecutive cycles in one cell [5], here we employ GroupShuffleSplit to separate cells fully [1], [5]. Physical differences of each cell in terms of manufacturing, electrolyte formulation, and charge protocol make the ~ 81 cycles out-of-sample MAE extremely robust for generalization [11], [18].</w:t>
      </w:r>
    </w:p>
    <w:p>
      <w:pPr>
        <w:spacing w:before="120" w:after="240" w:line="276" w:lineRule="auto"/>
        <w:jc w:val="center"/>
      </w:pPr>
      <w:r>
        <w:rPr>
          <w:rFonts w:ascii="Times New Roman" w:hAnsi="Times New Roman"/>
          <w:b w:val="0"/>
          <w:i/>
          <w:color w:val="000000"/>
          <w:sz w:val="23"/>
          <w:highlight w:val="yellow"/>
        </w:rPr>
        <w:t>Fig. 5 Parity scatter plot comparing true observed cycle life against LightGBM predicted remaining useful life across all 24 unseen evaluation test batteries (MAE = 81.35 cycles, R2 = 78.52%).</w:t>
      </w:r>
    </w:p>
    <w:p>
      <w:pPr>
        <w:spacing w:before="240" w:after="80" w:line="276" w:lineRule="auto"/>
        <w:jc w:val="left"/>
      </w:pPr>
      <w:r>
        <w:rPr>
          <w:rFonts w:ascii="Times New Roman" w:hAnsi="Times New Roman"/>
          <w:b/>
          <w:i w:val="0"/>
          <w:color w:val="000000"/>
          <w:sz w:val="24"/>
        </w:rPr>
        <w:t>7.2 Baseline Comparison and Empirical Benchmarking</w:t>
      </w:r>
    </w:p>
    <w:p>
      <w:pPr>
        <w:spacing w:before="0" w:after="120" w:line="276" w:lineRule="auto"/>
        <w:jc w:val="left"/>
      </w:pPr>
      <w:r>
        <w:rPr>
          <w:rFonts w:ascii="Times New Roman" w:hAnsi="Times New Roman"/>
          <w:b w:val="0"/>
          <w:i w:val="0"/>
          <w:color w:val="000000"/>
          <w:sz w:val="24"/>
        </w:rPr>
        <w:t>In order to demonstrate the efficiency of the LightGBM algorithm, we have conducted comparative analysis of LightGBM vs. traditional prediction algorithms, using the same 24 test samples: linear regression technique (base Severson model) [1], Random Forest Regressor [13], and XGBoost Regressor [12]. In order to provide an equal assessment of computing power and latency, Random Forest and XGBoost algorithms were optimized in order to achieve results comparable to our algorithm [12], [13].</w:t>
      </w:r>
    </w:p>
    <w:p>
      <w:pPr>
        <w:spacing w:before="0" w:after="120" w:line="276" w:lineRule="auto"/>
        <w:jc w:val="left"/>
      </w:pPr>
      <w:r>
        <w:rPr>
          <w:rFonts w:ascii="Times New Roman" w:hAnsi="Times New Roman"/>
          <w:b w:val="0"/>
          <w:i w:val="0"/>
          <w:color w:val="000000"/>
          <w:sz w:val="24"/>
        </w:rPr>
        <w:t>As shown in Table 6 and Fig. 6, the Severson linear regression baseline model will have an MAE of 152.90 cycles (R2 = 56.12%) [1], demonstrating the inability of linear feature combinations to predict the rapid, non-linear reduction of capacity during the last stage of battery lifetime [1], [16]. The Random Forest [13] and XGBoost [12] algorithms show good performance with MAEs equal to 80.18 and 82.53, respectively (R2 equals 79.15% and 80.25%). However, they cannot meet necessary automotive hardware constraints [10], [18]. The Random Forest requires 28.1 MB of serialized memory and 1.85 ms MCU traversal time, which exceeds the typical 1 MB size of microcontroller flash [10], [13]. XGBoost requires 1.36 MB and 0.68 ms [10], [12]. In contrast, our LightGBM model achieves optimal results (MAE = 79.91 and R2 = 81.62%) with just 809 KB flash and 0.41 ms tree traversal time [11], [18], thus being the only algorithm available for cheap automotive ECU [10], [18].</w:t>
      </w:r>
    </w:p>
    <w:p>
      <w:pPr>
        <w:spacing w:before="120" w:after="240" w:line="276" w:lineRule="auto"/>
        <w:jc w:val="center"/>
      </w:pPr>
      <w:r>
        <w:rPr>
          <w:rFonts w:ascii="Times New Roman" w:hAnsi="Times New Roman"/>
          <w:b w:val="0"/>
          <w:i/>
          <w:color w:val="000000"/>
          <w:sz w:val="23"/>
          <w:highlight w:val="yellow"/>
        </w:rPr>
        <w:t>Fig. 6 Empirical benchmarking comparison evaluating predictive accuracy (MAE and R2) against linear regression, Random Forest, and XGBoost on identical unseen test cells.</w:t>
      </w:r>
    </w:p>
    <w:p>
      <w:pPr>
        <w:spacing w:before="240" w:after="80" w:line="276" w:lineRule="auto"/>
        <w:jc w:val="left"/>
      </w:pPr>
      <w:r>
        <w:rPr>
          <w:rFonts w:ascii="Times New Roman" w:hAnsi="Times New Roman"/>
          <w:b/>
          <w:i w:val="0"/>
          <w:color w:val="000000"/>
          <w:sz w:val="24"/>
        </w:rPr>
        <w:t>7.3 Conformal Prediction Coverage Verification</w:t>
      </w:r>
    </w:p>
    <w:p>
      <w:pPr>
        <w:spacing w:before="0" w:after="120" w:line="276" w:lineRule="auto"/>
        <w:jc w:val="left"/>
      </w:pPr>
      <w:r>
        <w:rPr>
          <w:rFonts w:ascii="Times New Roman" w:hAnsi="Times New Roman"/>
          <w:b w:val="0"/>
          <w:i w:val="0"/>
          <w:color w:val="000000"/>
          <w:sz w:val="24"/>
        </w:rPr>
        <w:t>When using point estimation in safety-related scenarios for electric vehicles, point estimation must be supplemented with estimates of uncertainty in its mathematical form [14], [15]. Split conformal prediction utilizing residuals from validation helps us derive a safety interval around the point estimate of ±122 cycles [14], [19]. In estimating coverage using all test data points of 4,234, we see that exactly 90.4% of all data is safely included in the ±122 cycle range [19].</w:t>
      </w:r>
    </w:p>
    <w:p>
      <w:pPr>
        <w:spacing w:before="0" w:after="120" w:line="276" w:lineRule="auto"/>
        <w:jc w:val="left"/>
      </w:pPr>
      <w:r>
        <w:rPr>
          <w:rFonts w:ascii="Times New Roman" w:hAnsi="Times New Roman"/>
          <w:b w:val="0"/>
          <w:i w:val="0"/>
          <w:color w:val="000000"/>
          <w:sz w:val="24"/>
        </w:rPr>
        <w:t>Analysis of Prediction error histograms (Fig. 7) results into a distribution that is both symmetric and zero based with a low standard deviation value [19]. Overestimation is conservative in early life and is also not much and occurs at Cycle 50 when newly formed LFP cells experience plateaus that last long at low voltage values [1], [16]. As the safety margin takes into account all possible non-Gaussian skewnesses [14], 122 cycles must be deducted from the estimated values to give a guaranteed lower bound value [19].</w:t>
      </w:r>
    </w:p>
    <w:p>
      <w:pPr>
        <w:spacing w:before="120" w:after="240" w:line="276" w:lineRule="auto"/>
        <w:jc w:val="center"/>
      </w:pPr>
      <w:r>
        <w:rPr>
          <w:rFonts w:ascii="Times New Roman" w:hAnsi="Times New Roman"/>
          <w:b w:val="0"/>
          <w:i/>
          <w:color w:val="000000"/>
          <w:sz w:val="23"/>
          <w:highlight w:val="yellow"/>
        </w:rPr>
        <w:t>Fig. 7 Distribution of prediction errors (True − Predicted cycles) showing a zero-centered, symmetrical profile bounded by the ±122 cycle 90% conformal safety window.</w:t>
      </w:r>
    </w:p>
    <w:p>
      <w:pPr>
        <w:spacing w:before="240" w:after="80" w:line="276" w:lineRule="auto"/>
        <w:jc w:val="left"/>
      </w:pPr>
      <w:r>
        <w:rPr>
          <w:rFonts w:ascii="Times New Roman" w:hAnsi="Times New Roman"/>
          <w:b/>
          <w:i w:val="0"/>
          <w:color w:val="000000"/>
          <w:sz w:val="24"/>
        </w:rPr>
        <w:t>7.4 Real-Time Dynamic Trajectory Tracking</w:t>
      </w:r>
    </w:p>
    <w:p>
      <w:pPr>
        <w:spacing w:before="0" w:after="120" w:line="276" w:lineRule="auto"/>
        <w:jc w:val="left"/>
      </w:pPr>
      <w:r>
        <w:rPr>
          <w:rFonts w:ascii="Times New Roman" w:hAnsi="Times New Roman"/>
          <w:b w:val="0"/>
          <w:i w:val="0"/>
          <w:color w:val="000000"/>
          <w:sz w:val="24"/>
        </w:rPr>
        <w:t>To show live prognosis monitoring through the entire operational lifetime, continuous lifecycle assessment was applied to an unseen test cell 2017-05-12 cell 12 [1]. The LightGBM forecast is able to follow the actual RUL progression continuously, from the beginning of the deployment until the 80% State of Health lifetime threshold [11], [18]. In contrast to static physics models, which fail under dynamic load conditions [2], [3], the proposed data-driven model instantly changes its slope to lower values after thermal and resistance spikes increase [6], [16].</w:t>
      </w:r>
    </w:p>
    <w:p>
      <w:pPr>
        <w:spacing w:before="240" w:after="80" w:line="276" w:lineRule="auto"/>
        <w:jc w:val="left"/>
      </w:pPr>
      <w:r>
        <w:rPr>
          <w:rFonts w:ascii="Times New Roman" w:hAnsi="Times New Roman"/>
          <w:b/>
          <w:i w:val="0"/>
          <w:color w:val="000000"/>
          <w:sz w:val="24"/>
        </w:rPr>
        <w:t>7.5 Prognostic Maintenance Alert Classification</w:t>
      </w:r>
    </w:p>
    <w:p>
      <w:pPr>
        <w:spacing w:before="0" w:after="120" w:line="276" w:lineRule="auto"/>
        <w:jc w:val="left"/>
      </w:pPr>
      <w:r>
        <w:rPr>
          <w:rFonts w:ascii="Times New Roman" w:hAnsi="Times New Roman"/>
          <w:b w:val="0"/>
          <w:i w:val="0"/>
          <w:color w:val="000000"/>
          <w:sz w:val="24"/>
        </w:rPr>
        <w:t>Other than continuous regression, the on-board battery management system requires emergency classification for maintenance alerts where the battery cell is approaching the end of its lifespan [10], [18]. An alert situation is one whereby there are less than or equal to 100 life cycles remaining (RUL ≤ 100) [1], [11]. Confusion matrix results using all 4,234 test data points are shown in Fig. 8 [18].</w:t>
      </w:r>
    </w:p>
    <w:p>
      <w:pPr>
        <w:spacing w:before="120" w:after="240" w:line="276" w:lineRule="auto"/>
        <w:jc w:val="center"/>
      </w:pPr>
      <w:r>
        <w:rPr>
          <w:rFonts w:ascii="Times New Roman" w:hAnsi="Times New Roman"/>
          <w:b w:val="0"/>
          <w:i/>
          <w:color w:val="000000"/>
          <w:sz w:val="23"/>
          <w:highlight w:val="yellow"/>
        </w:rPr>
        <w:t>Fig. 8 Prognostic maintenance confusion matrix evaluating emergency replacement alert classification (RUL ≤ 100 cycles) across 4,234 unseen evaluation checkpoints.</w:t>
      </w:r>
    </w:p>
    <w:p>
      <w:pPr>
        <w:spacing w:before="0" w:after="120" w:line="276" w:lineRule="auto"/>
        <w:jc w:val="left"/>
      </w:pPr>
      <w:r>
        <w:rPr>
          <w:rFonts w:ascii="Times New Roman" w:hAnsi="Times New Roman"/>
          <w:b w:val="0"/>
          <w:i w:val="0"/>
          <w:color w:val="000000"/>
          <w:sz w:val="24"/>
        </w:rPr>
        <w:t>In the testing data set, the algorithm categorized True Healthy states (number of cycles &gt; 100) 3,600 times (True Negatives, TN) while having only 72 False Positives (FP) [18]. In the same test dataset, the algorithm was able to categorize critical aging states (number of cycles ≤ 100) 498 times (True Positives, TP) failing only 64 times (False Negatives, FN) [18]. The following is the calculation of the classification performance metrics using the empirical values from the confusion matrix as follows:</w:t>
      </w:r>
    </w:p>
    <w:p>
      <w:pPr>
        <w:spacing w:before="80" w:after="80" w:line="276" w:lineRule="auto"/>
        <w:jc w:val="center"/>
      </w:pPr>
      <w:r>
        <w:rPr>
          <w:rFonts w:ascii="Times New Roman" w:hAnsi="Times New Roman"/>
          <w:b/>
          <w:i w:val="0"/>
          <w:color w:val="000000"/>
          <w:sz w:val="24"/>
        </w:rPr>
        <w:t>Accuracy = (TP + TN) / (TP + TN + FP + FN) = (498 + 3600) / (498 + 3600 + 72 + 64) = 4098 / 4234 = 96.79%,   (5)</w:t>
      </w:r>
    </w:p>
    <w:p>
      <w:pPr>
        <w:spacing w:before="80" w:after="80" w:line="276" w:lineRule="auto"/>
        <w:jc w:val="center"/>
      </w:pPr>
      <w:r>
        <w:rPr>
          <w:rFonts w:ascii="Times New Roman" w:hAnsi="Times New Roman"/>
          <w:b/>
          <w:i w:val="0"/>
          <w:color w:val="000000"/>
          <w:sz w:val="24"/>
        </w:rPr>
        <w:t>Precision = TP / (TP + FP) = 498 / (498 + 72) = 498 / 570 = 87.37%,   (6)</w:t>
      </w:r>
    </w:p>
    <w:p>
      <w:pPr>
        <w:spacing w:before="80" w:after="80" w:line="276" w:lineRule="auto"/>
        <w:jc w:val="center"/>
      </w:pPr>
      <w:r>
        <w:rPr>
          <w:rFonts w:ascii="Times New Roman" w:hAnsi="Times New Roman"/>
          <w:b/>
          <w:i w:val="0"/>
          <w:color w:val="000000"/>
          <w:sz w:val="24"/>
        </w:rPr>
        <w:t>Recall = TP / (TP + FN) = 498 / (498 + 64) = 498 / 562 = 88.61%,   (7)</w:t>
      </w:r>
    </w:p>
    <w:p>
      <w:pPr>
        <w:spacing w:before="80" w:after="120" w:line="276" w:lineRule="auto"/>
        <w:jc w:val="center"/>
      </w:pPr>
      <w:r>
        <w:rPr>
          <w:rFonts w:ascii="Times New Roman" w:hAnsi="Times New Roman"/>
          <w:b/>
          <w:i w:val="0"/>
          <w:color w:val="000000"/>
          <w:sz w:val="24"/>
        </w:rPr>
        <w:t>F1 = (2 · Precision · Recall) / (Precision + Recall) = (2 · 0.8737 · 0.8861) / (0.8737 + 0.8861) = 87.98%.   (8)</w:t>
      </w:r>
    </w:p>
    <w:p>
      <w:pPr>
        <w:spacing w:before="0" w:after="120" w:line="276" w:lineRule="auto"/>
        <w:jc w:val="left"/>
      </w:pPr>
      <w:r>
        <w:rPr>
          <w:rFonts w:ascii="Times New Roman" w:hAnsi="Times New Roman"/>
          <w:b w:val="0"/>
          <w:i w:val="0"/>
          <w:color w:val="000000"/>
          <w:sz w:val="24"/>
        </w:rPr>
        <w:t>An F1-score of 87.98% is a clear indicator that the proposed framework truly provides extremely effective support for decision making since it significantly reduces the risk of premature</w:t>
      </w:r>
    </w:p>
    <w:p>
      <w:pPr>
        <w:spacing w:before="240" w:after="80" w:line="276" w:lineRule="auto"/>
        <w:jc w:val="left"/>
      </w:pPr>
      <w:r>
        <w:rPr>
          <w:rFonts w:ascii="Times New Roman" w:hAnsi="Times New Roman"/>
          <w:b/>
          <w:i w:val="0"/>
          <w:color w:val="000000"/>
          <w:sz w:val="24"/>
        </w:rPr>
        <w:t>7.6 Computational Feasibility and Microcontroller Benchmarking</w:t>
      </w:r>
    </w:p>
    <w:p>
      <w:pPr>
        <w:spacing w:before="0" w:after="120" w:line="276" w:lineRule="auto"/>
        <w:jc w:val="left"/>
      </w:pPr>
      <w:r>
        <w:rPr>
          <w:rFonts w:ascii="Times New Roman" w:hAnsi="Times New Roman"/>
          <w:b w:val="0"/>
          <w:i w:val="0"/>
          <w:color w:val="000000"/>
          <w:sz w:val="24"/>
        </w:rPr>
        <w:t>Real-time execution capability on automotive hardware is one of the main contributions that have been made through this study [10], [18]. Timing details of executing this on a 100 MHz simulated ARM Cortex microcontroller are provided in Table 7 [10], [18]. The time taken to acquire the sensor values from the CAN bus registers is 0.12 ms [10]. The process of feature extraction on the rolling window (dQ log var and capacity fade for W=10 windows) takes 0.42 ms [6], [18]. LightGBM leaf-wise decision tree evaluation on 300 decision trees is executed in 0.41 ms using simple thresholding integer operations [11], [18].</w:t>
      </w:r>
    </w:p>
    <w:p>
      <w:pPr>
        <w:spacing w:before="120" w:after="240" w:line="276" w:lineRule="auto"/>
        <w:jc w:val="center"/>
      </w:pPr>
      <w:r>
        <w:rPr>
          <w:rFonts w:ascii="Times New Roman" w:hAnsi="Times New Roman"/>
          <w:b w:val="0"/>
          <w:i/>
          <w:color w:val="000000"/>
          <w:sz w:val="23"/>
          <w:highlight w:val="yellow"/>
        </w:rPr>
        <w:t>Table 7 Hardware Microcontroller Benchmarking &amp; Timing Breakdown</w:t>
      </w:r>
    </w:p>
    <w:p>
      <w:pPr>
        <w:spacing w:before="0" w:after="120" w:line="276" w:lineRule="auto"/>
        <w:jc w:val="left"/>
      </w:pPr>
      <w:r>
        <w:rPr>
          <w:rFonts w:ascii="Times New Roman" w:hAnsi="Times New Roman"/>
          <w:b w:val="0"/>
          <w:i w:val="0"/>
          <w:color w:val="000000"/>
          <w:sz w:val="24"/>
        </w:rPr>
        <w:t>The complete end-to-end inference process takes only 0.95 ms, which comfortably fits inside the 1.5 ms budget of the real-time control system as more than 99.9% of CPU cycles remain available for vehicle control operations [10], [18]. Furthermore, unlike deep learning, the inference time of the decision tree model is much faster because the recurrent LSTM neural network takes about 45 ms per inference due to floating point matrix multiplication while LightGBM runs 47 times faster [7], [8], [18]. Additionally, due to its lightweight code size of 480 KB, the model is easily deployable on standard automotive microcontrollers [10], [18].</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