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A369C" w14:textId="185B8CF9" w:rsidR="004E7C82" w:rsidRDefault="00000000">
      <w:pPr>
        <w:spacing w:before="240" w:after="80"/>
        <w:jc w:val="center"/>
      </w:pPr>
      <w:r>
        <w:rPr>
          <w:b/>
          <w:color w:val="102C57"/>
          <w:sz w:val="36"/>
        </w:rPr>
        <w:t>Dynamic Remaining Useful Life (RUL) Prediction of Lithium-Iron-Phosphate Batteries in Electric Vehicles</w:t>
      </w:r>
    </w:p>
    <w:p w14:paraId="5C71F5EC" w14:textId="77777777" w:rsidR="00082959" w:rsidRDefault="00082959">
      <w:pPr>
        <w:ind w:left="576" w:right="576"/>
        <w:rPr>
          <w:i/>
        </w:rPr>
      </w:pPr>
    </w:p>
    <w:p w14:paraId="569FB12F" w14:textId="77777777" w:rsidR="00082959" w:rsidRDefault="00082959" w:rsidP="00082959">
      <w:pPr>
        <w:spacing w:before="280"/>
      </w:pPr>
      <w:r>
        <w:rPr>
          <w:b/>
          <w:color w:val="102C57"/>
          <w:sz w:val="30"/>
        </w:rPr>
        <w:t>ABSTRACT</w:t>
      </w:r>
    </w:p>
    <w:p w14:paraId="592012E4" w14:textId="7BB7215D" w:rsidR="00082959" w:rsidRPr="00082959" w:rsidRDefault="00082959" w:rsidP="00853AB2">
      <w:pPr>
        <w:spacing w:before="280"/>
        <w:jc w:val="both"/>
      </w:pPr>
      <w:r w:rsidRPr="00082959">
        <w:rPr>
          <w:lang w:val="en-IN"/>
        </w:rPr>
        <w:t>Lithium</w:t>
      </w:r>
      <w:r w:rsidR="003A06CB">
        <w:rPr>
          <w:lang w:val="en-IN"/>
        </w:rPr>
        <w:t xml:space="preserve"> </w:t>
      </w:r>
      <w:r w:rsidRPr="00082959">
        <w:rPr>
          <w:lang w:val="en-IN"/>
        </w:rPr>
        <w:t>Iron</w:t>
      </w:r>
      <w:r w:rsidR="003A06CB">
        <w:rPr>
          <w:lang w:val="en-IN"/>
        </w:rPr>
        <w:t xml:space="preserve"> </w:t>
      </w:r>
      <w:r w:rsidRPr="00082959">
        <w:rPr>
          <w:lang w:val="en-IN"/>
        </w:rPr>
        <w:t>Phosphate (LFP) batteries have emerged as the dominant chemistry for modern electric vehicle (EV) fleets due to their exceptional thermal safety, non</w:t>
      </w:r>
      <w:r w:rsidR="003A06CB">
        <w:rPr>
          <w:lang w:val="en-IN"/>
        </w:rPr>
        <w:t>-</w:t>
      </w:r>
      <w:r w:rsidRPr="00082959">
        <w:rPr>
          <w:lang w:val="en-IN"/>
        </w:rPr>
        <w:t>toxicity, and extended cycle life. However, LFP cells exhibit an exceptionally flat open</w:t>
      </w:r>
      <w:r w:rsidR="003A06CB">
        <w:rPr>
          <w:lang w:val="en-IN"/>
        </w:rPr>
        <w:t xml:space="preserve"> </w:t>
      </w:r>
      <w:r w:rsidRPr="00082959">
        <w:rPr>
          <w:lang w:val="en-IN"/>
        </w:rPr>
        <w:t>circuit voltage (OCV) plateau across 80% of their operational state</w:t>
      </w:r>
      <w:r w:rsidR="003A06CB">
        <w:rPr>
          <w:lang w:val="en-IN"/>
        </w:rPr>
        <w:t xml:space="preserve"> </w:t>
      </w:r>
      <w:r w:rsidRPr="00082959">
        <w:rPr>
          <w:lang w:val="en-IN"/>
        </w:rPr>
        <w:t>of</w:t>
      </w:r>
      <w:r w:rsidR="003A06CB">
        <w:rPr>
          <w:lang w:val="en-IN"/>
        </w:rPr>
        <w:t xml:space="preserve"> </w:t>
      </w:r>
      <w:proofErr w:type="gramStart"/>
      <w:r w:rsidRPr="00082959">
        <w:rPr>
          <w:lang w:val="en-IN"/>
        </w:rPr>
        <w:t>charge</w:t>
      </w:r>
      <w:r w:rsidR="003A06CB">
        <w:rPr>
          <w:lang w:val="en-IN"/>
        </w:rPr>
        <w:t>(</w:t>
      </w:r>
      <w:proofErr w:type="gramEnd"/>
      <w:r w:rsidR="003A06CB">
        <w:rPr>
          <w:lang w:val="en-IN"/>
        </w:rPr>
        <w:t>SOC)</w:t>
      </w:r>
      <w:r w:rsidRPr="00082959">
        <w:rPr>
          <w:lang w:val="en-IN"/>
        </w:rPr>
        <w:t>, rendering traditional physics</w:t>
      </w:r>
      <w:r w:rsidR="00853AB2">
        <w:rPr>
          <w:lang w:val="en-IN"/>
        </w:rPr>
        <w:t>-</w:t>
      </w:r>
      <w:r w:rsidRPr="00082959">
        <w:rPr>
          <w:lang w:val="en-IN"/>
        </w:rPr>
        <w:t>based state estimation technique</w:t>
      </w:r>
      <w:r w:rsidR="003A06CB">
        <w:rPr>
          <w:lang w:val="en-IN"/>
        </w:rPr>
        <w:t xml:space="preserve">s, </w:t>
      </w:r>
      <w:r w:rsidRPr="00082959">
        <w:rPr>
          <w:lang w:val="en-IN"/>
        </w:rPr>
        <w:t>such as Extended Kalman Filters (EKF) and Equivalent Circuit Models (ECM)</w:t>
      </w:r>
      <w:r w:rsidR="003A06CB">
        <w:rPr>
          <w:lang w:val="en-IN"/>
        </w:rPr>
        <w:t xml:space="preserve"> </w:t>
      </w:r>
      <w:r w:rsidRPr="00082959">
        <w:rPr>
          <w:lang w:val="en-IN"/>
        </w:rPr>
        <w:t>severely limited in diagnosing early-to-mid lifecycle degradation. This research presents a comprehensive, data</w:t>
      </w:r>
      <w:r w:rsidR="003A06CB">
        <w:rPr>
          <w:lang w:val="en-IN"/>
        </w:rPr>
        <w:t xml:space="preserve"> </w:t>
      </w:r>
      <w:r w:rsidRPr="00082959">
        <w:rPr>
          <w:lang w:val="en-IN"/>
        </w:rPr>
        <w:t>driven, real</w:t>
      </w:r>
      <w:r w:rsidR="003A06CB">
        <w:rPr>
          <w:lang w:val="en-IN"/>
        </w:rPr>
        <w:t xml:space="preserve"> </w:t>
      </w:r>
      <w:r w:rsidRPr="00082959">
        <w:rPr>
          <w:lang w:val="en-IN"/>
        </w:rPr>
        <w:t>time prognostic framework utilizing a customized Light Gradient Boosting Machine (</w:t>
      </w:r>
      <w:proofErr w:type="spellStart"/>
      <w:r w:rsidRPr="00082959">
        <w:rPr>
          <w:lang w:val="en-IN"/>
        </w:rPr>
        <w:t>LightGBM</w:t>
      </w:r>
      <w:proofErr w:type="spellEnd"/>
      <w:r w:rsidRPr="00082959">
        <w:rPr>
          <w:lang w:val="en-IN"/>
        </w:rPr>
        <w:t>) optimized specifically for automotive microcontroller execution. Evaluated across an exhaustive experimental benchmark dataset of 124 commercial LFP battery cells (22,474 total evaluation records) subjected to 72 distinct fast</w:t>
      </w:r>
      <w:r w:rsidR="003A06CB">
        <w:rPr>
          <w:lang w:val="en-IN"/>
        </w:rPr>
        <w:t xml:space="preserve"> </w:t>
      </w:r>
      <w:r w:rsidRPr="00082959">
        <w:rPr>
          <w:lang w:val="en-IN"/>
        </w:rPr>
        <w:t>charging profiles, our methodology engineers 8 dynamic domain</w:t>
      </w:r>
      <w:r w:rsidR="003A06CB">
        <w:rPr>
          <w:lang w:val="en-IN"/>
        </w:rPr>
        <w:t xml:space="preserve"> </w:t>
      </w:r>
      <w:r w:rsidRPr="00082959">
        <w:rPr>
          <w:lang w:val="en-IN"/>
        </w:rPr>
        <w:t>specific electrochemical features extracted over a sliding historical lookback window of W = 10 cycles. By decoupling historical feature depth from real-time execution scheduling, the system executes prognostic updates at a high</w:t>
      </w:r>
      <w:r w:rsidR="00425C5D">
        <w:rPr>
          <w:lang w:val="en-IN"/>
        </w:rPr>
        <w:t>-</w:t>
      </w:r>
      <w:r w:rsidRPr="00082959">
        <w:rPr>
          <w:lang w:val="en-IN"/>
        </w:rPr>
        <w:t xml:space="preserve">resolution polling interval of </w:t>
      </w:r>
      <w:proofErr w:type="spellStart"/>
      <w:r w:rsidRPr="00082959">
        <w:rPr>
          <w:lang w:val="en-IN"/>
        </w:rPr>
        <w:t>delta_t</w:t>
      </w:r>
      <w:proofErr w:type="spellEnd"/>
      <w:r w:rsidRPr="00082959">
        <w:rPr>
          <w:lang w:val="en-IN"/>
        </w:rPr>
        <w:t xml:space="preserve"> = 5 cycles. On a strictly unseen testing cohort of 24 batteries (4,234 continuous evaluation checkpoints), the proposed model achieves a Mean Absolute Error (MAE) of 81.35 cycles, a standard deviation of 99.35 cycles, and an R2 generalization accuracy of 78.52%, reaching an overall cross</w:t>
      </w:r>
      <w:r w:rsidR="00425C5D">
        <w:rPr>
          <w:lang w:val="en-IN"/>
        </w:rPr>
        <w:t xml:space="preserve"> </w:t>
      </w:r>
      <w:r w:rsidRPr="00082959">
        <w:rPr>
          <w:lang w:val="en-IN"/>
        </w:rPr>
        <w:t>validated accuracy of 81.64% across all 124 batteries. Furthermore, the framework establishes an actionable +/-122 cycle 90% worst</w:t>
      </w:r>
      <w:r w:rsidR="00425C5D">
        <w:rPr>
          <w:lang w:val="en-IN"/>
        </w:rPr>
        <w:t xml:space="preserve"> </w:t>
      </w:r>
      <w:r w:rsidRPr="00082959">
        <w:rPr>
          <w:lang w:val="en-IN"/>
        </w:rPr>
        <w:t>case industrial safety boundary, demonstrates 96.79% prognostic alert accuracy in classifying emergency maintenance thresholds, executes end-to-end microcontroller inference in 0.95 milliseconds on ARM Cortex hardware, and verifies complete discrete Z-domain mathematical stability inside the unit circle (|z| &lt; 1.0) under ISO 26262 automotive functional safety guidelines.</w:t>
      </w:r>
    </w:p>
    <w:p w14:paraId="19A5B062" w14:textId="78893EC3" w:rsidR="00082959" w:rsidRPr="00082959" w:rsidRDefault="00082959" w:rsidP="00853AB2">
      <w:pPr>
        <w:spacing w:before="280"/>
        <w:jc w:val="both"/>
        <w:rPr>
          <w:lang w:val="en-IN"/>
        </w:rPr>
      </w:pPr>
      <w:r w:rsidRPr="00082959">
        <w:rPr>
          <w:b/>
          <w:bCs/>
          <w:lang w:val="en-IN"/>
        </w:rPr>
        <w:t>Index Terms</w:t>
      </w:r>
      <w:r w:rsidR="003A06CB">
        <w:rPr>
          <w:lang w:val="en-IN"/>
        </w:rPr>
        <w:t xml:space="preserve">: </w:t>
      </w:r>
      <w:r w:rsidRPr="00082959">
        <w:rPr>
          <w:lang w:val="en-IN"/>
        </w:rPr>
        <w:t>Lithium-Iron-Phosphate (LFP) Batteries, Electric Vehicles (EV), Remaining Useful Life (RUL), Battery Management Systems (BMS), Light Gradient Boosting Machine (</w:t>
      </w:r>
      <w:proofErr w:type="spellStart"/>
      <w:r w:rsidRPr="00082959">
        <w:rPr>
          <w:lang w:val="en-IN"/>
        </w:rPr>
        <w:t>LightGBM</w:t>
      </w:r>
      <w:proofErr w:type="spellEnd"/>
      <w:r w:rsidRPr="00082959">
        <w:rPr>
          <w:lang w:val="en-IN"/>
        </w:rPr>
        <w:t>), Differential Capacity Analysis, Functional Safety, Embedded Machine Learning.</w:t>
      </w:r>
    </w:p>
    <w:p w14:paraId="169D9E0D" w14:textId="3DA26266" w:rsidR="004E7C82" w:rsidRDefault="00000000">
      <w:pPr>
        <w:spacing w:before="280"/>
      </w:pPr>
      <w:r>
        <w:rPr>
          <w:b/>
          <w:color w:val="102C57"/>
          <w:sz w:val="30"/>
        </w:rPr>
        <w:t>I. INTRODUCTION</w:t>
      </w:r>
    </w:p>
    <w:p w14:paraId="37C50F59" w14:textId="4314E8CF" w:rsidR="004E7C82" w:rsidRDefault="00000000" w:rsidP="00853AB2">
      <w:pPr>
        <w:jc w:val="both"/>
      </w:pPr>
      <w:r>
        <w:t>The global transition toward electrified transportation relies heavily on the safety, longevity, and reliability of onboard energy storage systems. Among commercial battery chemistries, Lithium</w:t>
      </w:r>
      <w:r w:rsidR="003A06CB">
        <w:t xml:space="preserve"> </w:t>
      </w:r>
      <w:r>
        <w:t>Iron</w:t>
      </w:r>
      <w:r w:rsidR="003A06CB">
        <w:t xml:space="preserve"> </w:t>
      </w:r>
      <w:r>
        <w:t>Phosphate (LiFePO4 or LFP) has achieved widespread automotive adoption</w:t>
      </w:r>
      <w:r w:rsidR="003A06CB">
        <w:t xml:space="preserve">, </w:t>
      </w:r>
      <w:r>
        <w:t>powering flagship electric vehicles from manufacturers such as Tesla, BYD, and Ford. Compared to Nickel</w:t>
      </w:r>
      <w:r w:rsidR="003A06CB">
        <w:t xml:space="preserve"> </w:t>
      </w:r>
      <w:r>
        <w:t>Manganese</w:t>
      </w:r>
      <w:r w:rsidR="003A06CB">
        <w:t xml:space="preserve"> </w:t>
      </w:r>
      <w:r>
        <w:t>Cobalt (NMC) chemistries, LFP offers superior thermal stability, immunity to exothermic runaway events, lower raw material costs, and an operating lifespan exceeding 2,000 deep charge</w:t>
      </w:r>
      <w:r w:rsidR="003A06CB">
        <w:t xml:space="preserve"> </w:t>
      </w:r>
      <w:r>
        <w:t>discharge cycles.</w:t>
      </w:r>
    </w:p>
    <w:p w14:paraId="1DEA8CC5" w14:textId="4138922A" w:rsidR="004E7C82" w:rsidRDefault="00000000" w:rsidP="00853AB2">
      <w:pPr>
        <w:jc w:val="both"/>
      </w:pPr>
      <w:r>
        <w:lastRenderedPageBreak/>
        <w:t>Despite these mechanical and economic advantages, prognostic health monitoring of LFP batteries presents an acute engineering challenge. LFP cells exhibit a highly biphasic electrochemical reaction mechanism during intercalation and de-intercalation, resulting in an exceptionally flat open</w:t>
      </w:r>
      <w:r w:rsidR="009827CF">
        <w:t xml:space="preserve"> </w:t>
      </w:r>
      <w:r>
        <w:t>circuit voltage (OCV) curve between 15% and 95% State of Charge (SOC). Consequently, external terminal voltage undergoes negligible variation across hundreds of mid</w:t>
      </w:r>
      <w:r w:rsidR="009827CF">
        <w:t>-</w:t>
      </w:r>
      <w:r>
        <w:t>life charging cycles. Traditional Battery Management System (BMS) algorithms</w:t>
      </w:r>
      <w:r w:rsidR="009827CF">
        <w:t xml:space="preserve">, </w:t>
      </w:r>
      <w:r>
        <w:t>including Equivalent Circuit Models (ECM) and Extended Kalman Filters (EKF)</w:t>
      </w:r>
      <w:r w:rsidR="009827CF">
        <w:t xml:space="preserve"> </w:t>
      </w:r>
      <w:r>
        <w:t>rely primarily on terminal voltage changes to infer State of Health (SOH) and Remaining Useful Life (RUL). Because terminal voltage remains virtually stagnant during mid-life before dropping precipitously near retirement (80% SOH), physics-based estimators frequently suffer from divergence, large variance, and sudden predictive collapse.</w:t>
      </w:r>
    </w:p>
    <w:p w14:paraId="4A272753" w14:textId="011AAB16" w:rsidR="004E7C82" w:rsidRDefault="00000000" w:rsidP="00853AB2">
      <w:pPr>
        <w:jc w:val="both"/>
      </w:pPr>
      <w:r>
        <w:t>To overcome the limitations of single</w:t>
      </w:r>
      <w:r w:rsidR="009827CF">
        <w:t xml:space="preserve"> </w:t>
      </w:r>
      <w:r>
        <w:t>point static models, modern automotive battery management requires continuous, real</w:t>
      </w:r>
      <w:r w:rsidR="009827CF">
        <w:t xml:space="preserve"> </w:t>
      </w:r>
      <w:r>
        <w:t>time prognostic tracking. Static machine learning models trained to output a single lifespan prediction at factory departure or early cycle milestones fail to account for real</w:t>
      </w:r>
      <w:r w:rsidR="009827CF">
        <w:t xml:space="preserve"> </w:t>
      </w:r>
      <w:r>
        <w:t>world dynamic operational conditions, such as alternating high</w:t>
      </w:r>
      <w:r w:rsidR="009827CF">
        <w:t xml:space="preserve"> </w:t>
      </w:r>
      <w:r>
        <w:t>current DC fast charging, extreme ambient temperatures, and variable driver acceleration profiles. Therefore, this research delivers four major contributions to the field of automotive battery prognostics:</w:t>
      </w:r>
    </w:p>
    <w:p w14:paraId="5B1C791C" w14:textId="3D1B7396" w:rsidR="004E7C82" w:rsidRDefault="00000000" w:rsidP="00853AB2">
      <w:pPr>
        <w:pStyle w:val="ListBullet"/>
        <w:jc w:val="both"/>
      </w:pPr>
      <w:r>
        <w:rPr>
          <w:b/>
        </w:rPr>
        <w:t>Dynamic Real</w:t>
      </w:r>
      <w:r w:rsidR="009827CF">
        <w:rPr>
          <w:b/>
        </w:rPr>
        <w:t xml:space="preserve"> </w:t>
      </w:r>
      <w:r>
        <w:rPr>
          <w:b/>
        </w:rPr>
        <w:t xml:space="preserve">Time Prognostic Architecture: </w:t>
      </w:r>
      <w:r>
        <w:t>We replace static single</w:t>
      </w:r>
      <w:r w:rsidR="009827CF">
        <w:t xml:space="preserve"> </w:t>
      </w:r>
      <w:r>
        <w:t>point predictions with a continuous tracking engine that dynamically recalculates remaining cycle life across the vehicle lifecycle.</w:t>
      </w:r>
    </w:p>
    <w:p w14:paraId="6E5F1ED4" w14:textId="77777777" w:rsidR="004E7C82" w:rsidRDefault="00000000" w:rsidP="00853AB2">
      <w:pPr>
        <w:pStyle w:val="ListBullet"/>
        <w:jc w:val="both"/>
      </w:pPr>
      <w:r>
        <w:rPr>
          <w:b/>
        </w:rPr>
        <w:t xml:space="preserve">Electrochemical Feature Engineering: </w:t>
      </w:r>
      <w:r>
        <w:t>We extract 8 domain-specific physics indicators over a rolling lookback window of W = 10 cycles, proving that Internal Resistance (IR) and differential capacity variance capture degradation long before terminal voltage drops.</w:t>
      </w:r>
    </w:p>
    <w:p w14:paraId="522EAE4A" w14:textId="1AEDB832" w:rsidR="004E7C82" w:rsidRDefault="00000000" w:rsidP="00853AB2">
      <w:pPr>
        <w:pStyle w:val="ListBullet"/>
        <w:jc w:val="both"/>
      </w:pPr>
      <w:r>
        <w:rPr>
          <w:b/>
        </w:rPr>
        <w:t>Architectural Decoupling &amp; Blind</w:t>
      </w:r>
      <w:r w:rsidR="009827CF">
        <w:rPr>
          <w:b/>
        </w:rPr>
        <w:t xml:space="preserve"> </w:t>
      </w:r>
      <w:r>
        <w:rPr>
          <w:b/>
        </w:rPr>
        <w:t xml:space="preserve">Spot Elimination: </w:t>
      </w:r>
      <w:r>
        <w:t>We separate historical feature windowing (W = 10) from execution scheduling (delta_t = 5), demonstrating mathematically that 5</w:t>
      </w:r>
      <w:r w:rsidR="009827CF">
        <w:t>-</w:t>
      </w:r>
      <w:r>
        <w:t>cycle polling eliminates the 20</w:t>
      </w:r>
      <w:r w:rsidR="009827CF">
        <w:t>-</w:t>
      </w:r>
      <w:r>
        <w:t>cycle inspection blind spot during non</w:t>
      </w:r>
      <w:r w:rsidR="009827CF">
        <w:t>-</w:t>
      </w:r>
      <w:r>
        <w:t>linear end-of-life capacity plunges.</w:t>
      </w:r>
    </w:p>
    <w:p w14:paraId="63E12FB6" w14:textId="77777777" w:rsidR="004E7C82" w:rsidRDefault="00000000" w:rsidP="00853AB2">
      <w:pPr>
        <w:pStyle w:val="ListBullet"/>
        <w:jc w:val="both"/>
      </w:pPr>
      <w:r>
        <w:rPr>
          <w:b/>
        </w:rPr>
        <w:t xml:space="preserve">Embedded Hardware Optimization &amp; ISO 26262 Verification: </w:t>
      </w:r>
      <w:r>
        <w:t>We optimize the LightGBM model for automotive microcontrollers, achieving 0.95 ms execution latency (&lt;480 KB Flash) and proving discrete Z-domain mathematical stability inside the unit circle (|z| &lt; 1.0).</w:t>
      </w:r>
    </w:p>
    <w:p w14:paraId="50F0495C" w14:textId="77777777" w:rsidR="004E7C82" w:rsidRDefault="00000000">
      <w:pPr>
        <w:spacing w:before="280"/>
      </w:pPr>
      <w:r>
        <w:rPr>
          <w:b/>
          <w:color w:val="102C57"/>
          <w:sz w:val="30"/>
        </w:rPr>
        <w:t>II. LITERATURE REVIEW &amp; RELATED WORK</w:t>
      </w:r>
    </w:p>
    <w:p w14:paraId="2D3B2C02" w14:textId="77777777" w:rsidR="004E7C82" w:rsidRDefault="00000000">
      <w:pPr>
        <w:spacing w:before="200" w:after="80"/>
      </w:pPr>
      <w:r>
        <w:rPr>
          <w:b/>
          <w:color w:val="28466E"/>
          <w:sz w:val="26"/>
        </w:rPr>
        <w:t>A. Physics-Based and Kalman Filtering Approaches</w:t>
      </w:r>
    </w:p>
    <w:p w14:paraId="52141D8B" w14:textId="48A61427" w:rsidR="004E7C82" w:rsidRDefault="00000000" w:rsidP="00853AB2">
      <w:pPr>
        <w:jc w:val="both"/>
      </w:pPr>
      <w:r>
        <w:t>Historical approaches to battery diagnostics have relied on Equivalent Circuit Models (ECMs) and electrochemical Pseudo-Two-Dimensional (P2D) physics models. While ECMs coupled with Extended or Unscented Kalman Filters (EKF/UKF) effectively track real</w:t>
      </w:r>
      <w:r w:rsidR="009827CF">
        <w:t xml:space="preserve"> </w:t>
      </w:r>
      <w:r>
        <w:t>time State of Charge (SOC), their application to long</w:t>
      </w:r>
      <w:r w:rsidR="009827CF">
        <w:t xml:space="preserve"> </w:t>
      </w:r>
      <w:r>
        <w:t>term RUL prediction in LFP cells is severely hindered by parameter observability issues. Because the LFP voltage plateau exhibits a slope close to zero (~0.5 mV/% SOC change), state observers experience severe gain degradation and cannot distinguish between healthy mid</w:t>
      </w:r>
      <w:r w:rsidR="009827CF">
        <w:t>-</w:t>
      </w:r>
      <w:r>
        <w:t>life states and impending internal degradation.</w:t>
      </w:r>
    </w:p>
    <w:p w14:paraId="68BE4F03" w14:textId="77777777" w:rsidR="004E7C82" w:rsidRDefault="00000000">
      <w:pPr>
        <w:spacing w:before="200" w:after="80"/>
      </w:pPr>
      <w:r>
        <w:rPr>
          <w:b/>
          <w:color w:val="28466E"/>
          <w:sz w:val="26"/>
        </w:rPr>
        <w:lastRenderedPageBreak/>
        <w:t>B. Data-Driven Deep Learning Models</w:t>
      </w:r>
    </w:p>
    <w:p w14:paraId="67EA070C" w14:textId="309F6C07" w:rsidR="004E7C82" w:rsidRDefault="00000000" w:rsidP="00853AB2">
      <w:pPr>
        <w:jc w:val="both"/>
      </w:pPr>
      <w:r>
        <w:t>In recent years, deep learning architectures</w:t>
      </w:r>
      <w:r w:rsidR="009827CF">
        <w:t xml:space="preserve"> </w:t>
      </w:r>
      <w:r>
        <w:t>such as Long Short-Term Memory (LSTM) networks, Gated Recurrent Units (GRU), and Convolutional Neural Networks (CNN)</w:t>
      </w:r>
      <w:r w:rsidR="009827CF">
        <w:t xml:space="preserve"> </w:t>
      </w:r>
      <w:r>
        <w:t>have been applied to battery aging datasets. While LSTMs capture temporal dependencies, they require extensive computational resources, large memory buffers, and floating</w:t>
      </w:r>
      <w:r w:rsidR="009827CF">
        <w:t>-</w:t>
      </w:r>
      <w:r>
        <w:t>point matrix multiplications that take ~45 milliseconds per inference step on standard embedded processors. Furthermore, deep neural networks function as uninterpretable black boxes, making formal verification under automotive functional safety standards (ISO 26262) exceptionally difficult.</w:t>
      </w:r>
    </w:p>
    <w:p w14:paraId="181D32D9" w14:textId="77777777" w:rsidR="004E7C82" w:rsidRDefault="00000000">
      <w:pPr>
        <w:spacing w:before="200" w:after="80"/>
      </w:pPr>
      <w:r>
        <w:rPr>
          <w:b/>
          <w:color w:val="28466E"/>
          <w:sz w:val="26"/>
        </w:rPr>
        <w:t>C. Base Paper Benchmark: Severson et al. (Nature Energy 2019)</w:t>
      </w:r>
    </w:p>
    <w:p w14:paraId="3334805B" w14:textId="77777777" w:rsidR="004E7C82" w:rsidRDefault="00000000" w:rsidP="00853AB2">
      <w:pPr>
        <w:jc w:val="both"/>
      </w:pPr>
      <w:r>
        <w:t>Our work builds directly upon and resolves the core operational limitations of the landmark benchmark study by Severson et al. published in Nature Energy (2019). Severson demonstrated that early-life variance in differential capacity (dQ/dV curves between Cycle 10 and Cycle 100) exhibits strong statistical correlation with final cell lifespan. Utilizing regularized Elastic Net linear regression, Severson achieved high accuracy in forecasting final cycle life using only the first 100 cycles of data.</w:t>
      </w:r>
    </w:p>
    <w:p w14:paraId="002CEE84" w14:textId="28D784AE" w:rsidR="004E7C82" w:rsidRDefault="00000000" w:rsidP="00853AB2">
      <w:pPr>
        <w:jc w:val="both"/>
      </w:pPr>
      <w:r>
        <w:t>However, Severson's methodology suffers from three critical engineering limitations when deployed in electric vehicles: (1) It requires a static 100-cycle initialization window, leaving new EV batteries unprotected for the first 100 charging sessions; (2) It outputs a single static lifetime prediction at Cycle 100 and ceases execution, failing to adapt if the driver subsequently shifts to aggressive DC fast charging; and (3) It relies on linear modeling that cannot capture the highly non-linear, exponential capacity collapse that occurs near retirement. Our methodology transforms Severson's variance principle into a dynamic, continuous, non</w:t>
      </w:r>
      <w:r w:rsidR="009827CF">
        <w:t>-</w:t>
      </w:r>
      <w:r>
        <w:t xml:space="preserve">linear </w:t>
      </w:r>
      <w:proofErr w:type="spellStart"/>
      <w:r>
        <w:t>LightGBM</w:t>
      </w:r>
      <w:proofErr w:type="spellEnd"/>
      <w:r>
        <w:t xml:space="preserve"> pipeline capable of real</w:t>
      </w:r>
      <w:r w:rsidR="009827CF">
        <w:t xml:space="preserve"> </w:t>
      </w:r>
      <w:r>
        <w:t>time onboard tracking.</w:t>
      </w:r>
    </w:p>
    <w:p w14:paraId="56C6EE0E" w14:textId="77777777" w:rsidR="004E7C82" w:rsidRDefault="00000000">
      <w:pPr>
        <w:spacing w:before="280"/>
      </w:pPr>
      <w:r>
        <w:rPr>
          <w:b/>
          <w:color w:val="102C57"/>
          <w:sz w:val="30"/>
        </w:rPr>
        <w:t>III. EXPERIMENTAL DATASET &amp; AGING DYNAMICS</w:t>
      </w:r>
    </w:p>
    <w:p w14:paraId="28A78075" w14:textId="77777777" w:rsidR="004E7C82" w:rsidRDefault="00000000">
      <w:pPr>
        <w:spacing w:before="200" w:after="80"/>
      </w:pPr>
      <w:r>
        <w:rPr>
          <w:b/>
          <w:color w:val="28466E"/>
          <w:sz w:val="26"/>
        </w:rPr>
        <w:t>A. Benchmark Dataset Specifications</w:t>
      </w:r>
    </w:p>
    <w:p w14:paraId="3CF7C38C" w14:textId="7C6A7931" w:rsidR="004E7C82" w:rsidRDefault="00000000" w:rsidP="00853AB2">
      <w:pPr>
        <w:jc w:val="both"/>
      </w:pPr>
      <w:r>
        <w:t>To evaluate our prognostic framework under rigorous experimental standards, we utilized the public benchmark battery aging dataset generated by Stanford University, MIT, and the Toyota Research Institute (TRI). The dataset comprises 124 commercial A123 Systems APR18650M1A LFP battery cells (nominal capacity 1.1 Ah, nominal voltage 3.3 V) cycled to failure inside temperature</w:t>
      </w:r>
      <w:r w:rsidR="00306FDA">
        <w:t xml:space="preserve"> </w:t>
      </w:r>
      <w:r>
        <w:t>controlled environmental chambers.</w:t>
      </w:r>
    </w:p>
    <w:p w14:paraId="0815B0CC" w14:textId="16D35501" w:rsidR="004E7C82" w:rsidRDefault="00000000" w:rsidP="00853AB2">
      <w:pPr>
        <w:jc w:val="both"/>
      </w:pPr>
      <w:r>
        <w:t>To replicate real</w:t>
      </w:r>
      <w:r w:rsidR="00306FDA">
        <w:t xml:space="preserve"> </w:t>
      </w:r>
      <w:r>
        <w:t>world vehicle charging diversity, the 124 cells were subjected to 72 distinct fast</w:t>
      </w:r>
      <w:r w:rsidR="00306FDA">
        <w:t xml:space="preserve"> </w:t>
      </w:r>
      <w:r>
        <w:t>charging multistep constant</w:t>
      </w:r>
      <w:r w:rsidR="00306FDA">
        <w:t xml:space="preserve"> </w:t>
      </w:r>
      <w:r>
        <w:t>current (CC) protocols ranging from 1C to 6C charging rates, followed by a uniform 4C constant</w:t>
      </w:r>
      <w:r w:rsidR="00306FDA">
        <w:t xml:space="preserve"> </w:t>
      </w:r>
      <w:r>
        <w:t>current discharge profile. Total cell lifetimes exhibited extreme experimental variance, spanning from 450 cycles for aggressively fast</w:t>
      </w:r>
      <w:r w:rsidR="00306FDA">
        <w:t xml:space="preserve"> </w:t>
      </w:r>
      <w:r>
        <w:t>charged cells up to 2,250 cycles for gently charged cells. Across all 124 batteries, exactly 22,474 continuous evaluation records were collected.</w:t>
      </w:r>
    </w:p>
    <w:p w14:paraId="2D519FD8" w14:textId="77777777" w:rsidR="00B3384A" w:rsidRDefault="00B3384A">
      <w:pPr>
        <w:spacing w:before="200" w:after="80"/>
        <w:rPr>
          <w:b/>
          <w:color w:val="28466E"/>
          <w:sz w:val="26"/>
        </w:rPr>
      </w:pPr>
    </w:p>
    <w:p w14:paraId="27AB2A41" w14:textId="77777777" w:rsidR="00B3384A" w:rsidRDefault="00B3384A">
      <w:pPr>
        <w:spacing w:before="200" w:after="80"/>
        <w:rPr>
          <w:b/>
          <w:color w:val="28466E"/>
          <w:sz w:val="26"/>
        </w:rPr>
      </w:pPr>
    </w:p>
    <w:p w14:paraId="432C3AE8" w14:textId="2F6DF05F" w:rsidR="004E7C82" w:rsidRDefault="00000000">
      <w:pPr>
        <w:spacing w:before="200" w:after="80"/>
      </w:pPr>
      <w:r>
        <w:rPr>
          <w:b/>
          <w:color w:val="28466E"/>
          <w:sz w:val="26"/>
        </w:rPr>
        <w:lastRenderedPageBreak/>
        <w:t>B. Cell-Grouped Shuffled Splitting Strategy</w:t>
      </w:r>
    </w:p>
    <w:p w14:paraId="12DCA3FC" w14:textId="1F21388B" w:rsidR="004E7C82" w:rsidRDefault="00000000" w:rsidP="00853AB2">
      <w:pPr>
        <w:jc w:val="both"/>
      </w:pPr>
      <w:r>
        <w:t>A critical flaw in many published machine learning battery studies is data leakage caused by random row</w:t>
      </w:r>
      <w:r w:rsidR="00B3384A">
        <w:t xml:space="preserve"> </w:t>
      </w:r>
      <w:r>
        <w:t>wise train/test splitting. If individual cycle records from the same physical cell are distributed across training and testing sets, the model illegally memorizes cell</w:t>
      </w:r>
      <w:r w:rsidR="00B3384A">
        <w:t xml:space="preserve"> </w:t>
      </w:r>
      <w:r>
        <w:t>specific aging trajectories. To guarantee absolute out-of-sample mathematical rigor, we split our dataset strictly at the physical cell level:</w:t>
      </w:r>
    </w:p>
    <w:p w14:paraId="358BBBE3" w14:textId="77777777" w:rsidR="004E7C82" w:rsidRDefault="00000000" w:rsidP="00853AB2">
      <w:pPr>
        <w:jc w:val="both"/>
      </w:pPr>
      <w:r>
        <w:t>• Training Cohort: 100 distinct physical battery cells (~18,240 evaluation points) utilized exclusively for feature normalization, hyperparameter grid search, and LightGBM tree construction.</w:t>
      </w:r>
      <w:r>
        <w:br/>
        <w:t>• Unseen Testing Cohort: 24 strictly hidden physical battery cells (exactly 4,234 continuous evaluation checkpoints) reserved exclusively for final generalization benchmarking.</w:t>
      </w:r>
    </w:p>
    <w:p w14:paraId="4CB3B5ED" w14:textId="77777777" w:rsidR="004E7C82" w:rsidRDefault="00000000">
      <w:pPr>
        <w:spacing w:before="200" w:after="80"/>
      </w:pPr>
      <w:r>
        <w:rPr>
          <w:b/>
          <w:color w:val="28466E"/>
          <w:sz w:val="26"/>
        </w:rPr>
        <w:t>C. Empirical Aging Trajectories &amp; Non-Linear Plunge</w:t>
      </w:r>
    </w:p>
    <w:p w14:paraId="2557235C" w14:textId="77777777" w:rsidR="004E7C82" w:rsidRDefault="00000000" w:rsidP="00853AB2">
      <w:pPr>
        <w:jc w:val="both"/>
      </w:pPr>
      <w:r>
        <w:t>Figure 1 illustrates the empirical capacity fade trajectories recorded across the 24 unseen testing cells. As observed in the physical laboratory data, battery capacity stays relatively flat and stable during mid-life (Cycles 100 to 600), experiencing minimal degradation. However, once a cell approaches ~83% State of Health (SOH), degradation accelerates exponentially into a non-linear end-of-life capacity plunge, crossing the 80% retirement threshold within a narrow window of 15 to 25 cycles. This experimental reality proves that static mileage-based replacement schedules are fundamentally unsafe.</w:t>
      </w:r>
    </w:p>
    <w:p w14:paraId="1AF4473B" w14:textId="77777777" w:rsidR="004E7C82" w:rsidRDefault="00000000">
      <w:pPr>
        <w:spacing w:before="160" w:after="40"/>
        <w:jc w:val="center"/>
      </w:pPr>
      <w:r>
        <w:rPr>
          <w:noProof/>
        </w:rPr>
        <w:drawing>
          <wp:inline distT="0" distB="0" distL="0" distR="0" wp14:anchorId="3F7B7497" wp14:editId="7E34AC54">
            <wp:extent cx="5303520" cy="3476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pacity_fade_curves.png"/>
                    <pic:cNvPicPr/>
                  </pic:nvPicPr>
                  <pic:blipFill>
                    <a:blip r:embed="rId6"/>
                    <a:stretch>
                      <a:fillRect/>
                    </a:stretch>
                  </pic:blipFill>
                  <pic:spPr>
                    <a:xfrm>
                      <a:off x="0" y="0"/>
                      <a:ext cx="5303520" cy="3476098"/>
                    </a:xfrm>
                    <a:prstGeom prst="rect">
                      <a:avLst/>
                    </a:prstGeom>
                  </pic:spPr>
                </pic:pic>
              </a:graphicData>
            </a:graphic>
          </wp:inline>
        </w:drawing>
      </w:r>
    </w:p>
    <w:p w14:paraId="285D6EDD" w14:textId="77777777" w:rsidR="004E7C82" w:rsidRDefault="00000000">
      <w:pPr>
        <w:spacing w:after="280"/>
        <w:jc w:val="center"/>
      </w:pPr>
      <w:r>
        <w:rPr>
          <w:i/>
          <w:color w:val="505A64"/>
          <w:sz w:val="19"/>
        </w:rPr>
        <w:t>Fig. 1: Empirical Aging Trajectories across 24 Unseen Test Cells illustrating the mid-life flat plateau and sudden non-linear capacity plunge at end-of-life.</w:t>
      </w:r>
    </w:p>
    <w:p w14:paraId="34AB2D85" w14:textId="77777777" w:rsidR="00B3384A" w:rsidRDefault="00B3384A">
      <w:pPr>
        <w:spacing w:before="280"/>
        <w:rPr>
          <w:b/>
          <w:color w:val="102C57"/>
          <w:sz w:val="30"/>
        </w:rPr>
      </w:pPr>
    </w:p>
    <w:p w14:paraId="2372D241" w14:textId="58830031" w:rsidR="004E7C82" w:rsidRDefault="00000000">
      <w:pPr>
        <w:spacing w:before="280"/>
      </w:pPr>
      <w:r>
        <w:rPr>
          <w:b/>
          <w:color w:val="102C57"/>
          <w:sz w:val="30"/>
        </w:rPr>
        <w:lastRenderedPageBreak/>
        <w:t>IV. ELECTROCHEMICAL FEATURE ENGINEERING</w:t>
      </w:r>
    </w:p>
    <w:p w14:paraId="06F8C369" w14:textId="77777777" w:rsidR="004E7C82" w:rsidRDefault="00000000">
      <w:pPr>
        <w:spacing w:before="200" w:after="80"/>
      </w:pPr>
      <w:r>
        <w:rPr>
          <w:b/>
          <w:color w:val="28466E"/>
          <w:sz w:val="26"/>
        </w:rPr>
        <w:t>A. Theoretical Foundation of Differential Capacity</w:t>
      </w:r>
    </w:p>
    <w:p w14:paraId="106D44AD" w14:textId="77777777" w:rsidR="004E7C82" w:rsidRDefault="00000000" w:rsidP="00853AB2">
      <w:pPr>
        <w:jc w:val="both"/>
      </w:pPr>
      <w:r>
        <w:t>Because raw terminal voltage (V) against time (t) masks internal degradation, electrochemical diagnostics analyze differential capacity curves (dQ/dV plotted against V). The peaks on a dQ/dV curve correspond directly to phase equilibria transitions inside the LFP crystal lattice. As parasitic side reactions cause Solid Electrolyte Interphase (SEI) film growth and loss of active lithium inventory (LLI), these peaks shift in amplitude and voltage area.</w:t>
      </w:r>
    </w:p>
    <w:p w14:paraId="4AF056CC" w14:textId="77777777" w:rsidR="004E7C82" w:rsidRDefault="00000000">
      <w:pPr>
        <w:spacing w:before="200" w:after="80"/>
      </w:pPr>
      <w:r>
        <w:rPr>
          <w:b/>
          <w:color w:val="28466E"/>
          <w:sz w:val="26"/>
        </w:rPr>
        <w:t>B. Mathematical Formulation of 8 Dynamic Physics Indicators</w:t>
      </w:r>
    </w:p>
    <w:p w14:paraId="013EA190" w14:textId="77777777" w:rsidR="004E7C82" w:rsidRDefault="00000000" w:rsidP="00853AB2">
      <w:pPr>
        <w:jc w:val="both"/>
      </w:pPr>
      <w:r>
        <w:t>Over each sliding historical lookback window of W = 10 cycles (spanning from current cycle t back to t-10), our feature extraction engine calculates 8 distinct physical variables:</w:t>
      </w:r>
    </w:p>
    <w:tbl>
      <w:tblPr>
        <w:tblW w:w="0" w:type="auto"/>
        <w:jc w:val="center"/>
        <w:tblLook w:val="04A0" w:firstRow="1" w:lastRow="0" w:firstColumn="1" w:lastColumn="0" w:noHBand="0" w:noVBand="1"/>
      </w:tblPr>
      <w:tblGrid>
        <w:gridCol w:w="2880"/>
        <w:gridCol w:w="2880"/>
        <w:gridCol w:w="2880"/>
      </w:tblGrid>
      <w:tr w:rsidR="004E7C82" w14:paraId="761765F8" w14:textId="77777777">
        <w:trPr>
          <w:jc w:val="center"/>
        </w:trPr>
        <w:tc>
          <w:tcPr>
            <w:tcW w:w="2880" w:type="dxa"/>
            <w:shd w:val="clear" w:color="auto" w:fill="102C57"/>
          </w:tcPr>
          <w:p w14:paraId="5AC8AF6F" w14:textId="77777777" w:rsidR="004E7C82" w:rsidRDefault="00000000">
            <w:r>
              <w:rPr>
                <w:b/>
                <w:color w:val="FFFFFF"/>
              </w:rPr>
              <w:t>Feature Symbol</w:t>
            </w:r>
          </w:p>
        </w:tc>
        <w:tc>
          <w:tcPr>
            <w:tcW w:w="2880" w:type="dxa"/>
            <w:shd w:val="clear" w:color="auto" w:fill="102C57"/>
          </w:tcPr>
          <w:p w14:paraId="5FFF0FE9" w14:textId="77777777" w:rsidR="004E7C82" w:rsidRDefault="00000000">
            <w:r>
              <w:rPr>
                <w:b/>
                <w:color w:val="FFFFFF"/>
              </w:rPr>
              <w:t>Mathematical Definition &amp; Formula</w:t>
            </w:r>
          </w:p>
        </w:tc>
        <w:tc>
          <w:tcPr>
            <w:tcW w:w="2880" w:type="dxa"/>
            <w:shd w:val="clear" w:color="auto" w:fill="102C57"/>
          </w:tcPr>
          <w:p w14:paraId="57125A19" w14:textId="77777777" w:rsidR="004E7C82" w:rsidRDefault="00000000">
            <w:r>
              <w:rPr>
                <w:b/>
                <w:color w:val="FFFFFF"/>
              </w:rPr>
              <w:t>Electrochemical Significance &amp; Physical Meaning</w:t>
            </w:r>
          </w:p>
        </w:tc>
      </w:tr>
      <w:tr w:rsidR="004E7C82" w14:paraId="23166B57" w14:textId="77777777">
        <w:trPr>
          <w:jc w:val="center"/>
        </w:trPr>
        <w:tc>
          <w:tcPr>
            <w:tcW w:w="2880" w:type="dxa"/>
            <w:shd w:val="clear" w:color="auto" w:fill="F5F7FA"/>
            <w:tcMar>
              <w:top w:w="80" w:type="dxa"/>
              <w:left w:w="100" w:type="dxa"/>
              <w:bottom w:w="80" w:type="dxa"/>
              <w:right w:w="100" w:type="dxa"/>
            </w:tcMar>
          </w:tcPr>
          <w:p w14:paraId="7AAFC2B7" w14:textId="77777777" w:rsidR="004E7C82" w:rsidRPr="00853AB2" w:rsidRDefault="00000000">
            <w:pPr>
              <w:rPr>
                <w:sz w:val="20"/>
                <w:szCs w:val="20"/>
              </w:rPr>
            </w:pPr>
            <w:r w:rsidRPr="00853AB2">
              <w:rPr>
                <w:b/>
                <w:sz w:val="20"/>
                <w:szCs w:val="20"/>
              </w:rPr>
              <w:t>cycle</w:t>
            </w:r>
          </w:p>
        </w:tc>
        <w:tc>
          <w:tcPr>
            <w:tcW w:w="2880" w:type="dxa"/>
            <w:shd w:val="clear" w:color="auto" w:fill="F5F7FA"/>
            <w:tcMar>
              <w:top w:w="80" w:type="dxa"/>
              <w:left w:w="100" w:type="dxa"/>
              <w:bottom w:w="80" w:type="dxa"/>
              <w:right w:w="100" w:type="dxa"/>
            </w:tcMar>
          </w:tcPr>
          <w:p w14:paraId="43CDEEC6" w14:textId="77777777" w:rsidR="004E7C82" w:rsidRPr="00853AB2" w:rsidRDefault="00000000">
            <w:pPr>
              <w:rPr>
                <w:sz w:val="20"/>
                <w:szCs w:val="20"/>
              </w:rPr>
            </w:pPr>
            <w:r w:rsidRPr="00853AB2">
              <w:rPr>
                <w:sz w:val="20"/>
                <w:szCs w:val="20"/>
              </w:rPr>
              <w:t>t</w:t>
            </w:r>
          </w:p>
        </w:tc>
        <w:tc>
          <w:tcPr>
            <w:tcW w:w="2880" w:type="dxa"/>
            <w:shd w:val="clear" w:color="auto" w:fill="F5F7FA"/>
            <w:tcMar>
              <w:top w:w="80" w:type="dxa"/>
              <w:left w:w="100" w:type="dxa"/>
              <w:bottom w:w="80" w:type="dxa"/>
              <w:right w:w="100" w:type="dxa"/>
            </w:tcMar>
          </w:tcPr>
          <w:p w14:paraId="4E4E0B5A" w14:textId="77777777" w:rsidR="004E7C82" w:rsidRPr="00853AB2" w:rsidRDefault="00000000" w:rsidP="00853AB2">
            <w:pPr>
              <w:jc w:val="both"/>
              <w:rPr>
                <w:sz w:val="16"/>
                <w:szCs w:val="16"/>
              </w:rPr>
            </w:pPr>
            <w:r w:rsidRPr="00853AB2">
              <w:rPr>
                <w:sz w:val="16"/>
                <w:szCs w:val="16"/>
              </w:rPr>
              <w:t>Chronological age index and baseline counter of vehicle operation.</w:t>
            </w:r>
          </w:p>
        </w:tc>
      </w:tr>
      <w:tr w:rsidR="004E7C82" w14:paraId="186F12ED" w14:textId="77777777">
        <w:trPr>
          <w:jc w:val="center"/>
        </w:trPr>
        <w:tc>
          <w:tcPr>
            <w:tcW w:w="2880" w:type="dxa"/>
            <w:shd w:val="clear" w:color="auto" w:fill="FFFFFF"/>
            <w:tcMar>
              <w:top w:w="80" w:type="dxa"/>
              <w:left w:w="100" w:type="dxa"/>
              <w:bottom w:w="80" w:type="dxa"/>
              <w:right w:w="100" w:type="dxa"/>
            </w:tcMar>
          </w:tcPr>
          <w:p w14:paraId="2E20B4CF" w14:textId="77777777" w:rsidR="004E7C82" w:rsidRPr="00853AB2" w:rsidRDefault="00000000">
            <w:pPr>
              <w:rPr>
                <w:sz w:val="20"/>
                <w:szCs w:val="20"/>
              </w:rPr>
            </w:pPr>
            <w:r w:rsidRPr="00853AB2">
              <w:rPr>
                <w:b/>
                <w:sz w:val="20"/>
                <w:szCs w:val="20"/>
              </w:rPr>
              <w:t>IR</w:t>
            </w:r>
          </w:p>
        </w:tc>
        <w:tc>
          <w:tcPr>
            <w:tcW w:w="2880" w:type="dxa"/>
            <w:shd w:val="clear" w:color="auto" w:fill="FFFFFF"/>
            <w:tcMar>
              <w:top w:w="80" w:type="dxa"/>
              <w:left w:w="100" w:type="dxa"/>
              <w:bottom w:w="80" w:type="dxa"/>
              <w:right w:w="100" w:type="dxa"/>
            </w:tcMar>
          </w:tcPr>
          <w:p w14:paraId="37C538A0" w14:textId="77777777" w:rsidR="004E7C82" w:rsidRPr="00853AB2" w:rsidRDefault="00000000">
            <w:pPr>
              <w:rPr>
                <w:sz w:val="20"/>
                <w:szCs w:val="20"/>
              </w:rPr>
            </w:pPr>
            <w:r w:rsidRPr="00853AB2">
              <w:rPr>
                <w:sz w:val="20"/>
                <w:szCs w:val="20"/>
              </w:rPr>
              <w:t>R(t) = delta_V / delta_I</w:t>
            </w:r>
          </w:p>
        </w:tc>
        <w:tc>
          <w:tcPr>
            <w:tcW w:w="2880" w:type="dxa"/>
            <w:shd w:val="clear" w:color="auto" w:fill="FFFFFF"/>
            <w:tcMar>
              <w:top w:w="80" w:type="dxa"/>
              <w:left w:w="100" w:type="dxa"/>
              <w:bottom w:w="80" w:type="dxa"/>
              <w:right w:w="100" w:type="dxa"/>
            </w:tcMar>
          </w:tcPr>
          <w:p w14:paraId="241A1A48" w14:textId="77777777" w:rsidR="004E7C82" w:rsidRPr="00853AB2" w:rsidRDefault="00000000" w:rsidP="00853AB2">
            <w:pPr>
              <w:jc w:val="both"/>
              <w:rPr>
                <w:sz w:val="16"/>
                <w:szCs w:val="16"/>
              </w:rPr>
            </w:pPr>
            <w:r w:rsidRPr="00853AB2">
              <w:rPr>
                <w:sz w:val="16"/>
                <w:szCs w:val="16"/>
              </w:rPr>
              <w:t>Dominant predictor (#1 rank). Directly measures ohmic resistance increase driven by SEI layer thickening on the anode.</w:t>
            </w:r>
          </w:p>
        </w:tc>
      </w:tr>
      <w:tr w:rsidR="004E7C82" w14:paraId="5C7C5EC0" w14:textId="77777777">
        <w:trPr>
          <w:jc w:val="center"/>
        </w:trPr>
        <w:tc>
          <w:tcPr>
            <w:tcW w:w="2880" w:type="dxa"/>
            <w:shd w:val="clear" w:color="auto" w:fill="F5F7FA"/>
            <w:tcMar>
              <w:top w:w="80" w:type="dxa"/>
              <w:left w:w="100" w:type="dxa"/>
              <w:bottom w:w="80" w:type="dxa"/>
              <w:right w:w="100" w:type="dxa"/>
            </w:tcMar>
          </w:tcPr>
          <w:p w14:paraId="7835CE9C" w14:textId="77777777" w:rsidR="004E7C82" w:rsidRPr="00853AB2" w:rsidRDefault="00000000">
            <w:pPr>
              <w:rPr>
                <w:sz w:val="20"/>
                <w:szCs w:val="20"/>
              </w:rPr>
            </w:pPr>
            <w:r w:rsidRPr="00853AB2">
              <w:rPr>
                <w:b/>
                <w:sz w:val="20"/>
                <w:szCs w:val="20"/>
              </w:rPr>
              <w:t>Tavg</w:t>
            </w:r>
          </w:p>
        </w:tc>
        <w:tc>
          <w:tcPr>
            <w:tcW w:w="2880" w:type="dxa"/>
            <w:shd w:val="clear" w:color="auto" w:fill="F5F7FA"/>
            <w:tcMar>
              <w:top w:w="80" w:type="dxa"/>
              <w:left w:w="100" w:type="dxa"/>
              <w:bottom w:w="80" w:type="dxa"/>
              <w:right w:w="100" w:type="dxa"/>
            </w:tcMar>
          </w:tcPr>
          <w:p w14:paraId="43441F92" w14:textId="77777777" w:rsidR="004E7C82" w:rsidRPr="00853AB2" w:rsidRDefault="00000000">
            <w:pPr>
              <w:rPr>
                <w:sz w:val="20"/>
                <w:szCs w:val="20"/>
              </w:rPr>
            </w:pPr>
            <w:r w:rsidRPr="00853AB2">
              <w:rPr>
                <w:sz w:val="20"/>
                <w:szCs w:val="20"/>
              </w:rPr>
              <w:t>T_avg = (1/N) sum(T_i)</w:t>
            </w:r>
          </w:p>
        </w:tc>
        <w:tc>
          <w:tcPr>
            <w:tcW w:w="2880" w:type="dxa"/>
            <w:shd w:val="clear" w:color="auto" w:fill="F5F7FA"/>
            <w:tcMar>
              <w:top w:w="80" w:type="dxa"/>
              <w:left w:w="100" w:type="dxa"/>
              <w:bottom w:w="80" w:type="dxa"/>
              <w:right w:w="100" w:type="dxa"/>
            </w:tcMar>
          </w:tcPr>
          <w:p w14:paraId="277C0945" w14:textId="77777777" w:rsidR="004E7C82" w:rsidRPr="00853AB2" w:rsidRDefault="00000000" w:rsidP="00853AB2">
            <w:pPr>
              <w:jc w:val="both"/>
              <w:rPr>
                <w:sz w:val="16"/>
                <w:szCs w:val="16"/>
              </w:rPr>
            </w:pPr>
            <w:r w:rsidRPr="00853AB2">
              <w:rPr>
                <w:sz w:val="16"/>
                <w:szCs w:val="16"/>
              </w:rPr>
              <w:t>Average internal cell temperature during cycling; governs Arrhenius reaction kinetics and aging rate.</w:t>
            </w:r>
          </w:p>
        </w:tc>
      </w:tr>
      <w:tr w:rsidR="004E7C82" w14:paraId="263CF416" w14:textId="77777777">
        <w:trPr>
          <w:jc w:val="center"/>
        </w:trPr>
        <w:tc>
          <w:tcPr>
            <w:tcW w:w="2880" w:type="dxa"/>
            <w:shd w:val="clear" w:color="auto" w:fill="FFFFFF"/>
            <w:tcMar>
              <w:top w:w="80" w:type="dxa"/>
              <w:left w:w="100" w:type="dxa"/>
              <w:bottom w:w="80" w:type="dxa"/>
              <w:right w:w="100" w:type="dxa"/>
            </w:tcMar>
          </w:tcPr>
          <w:p w14:paraId="2A4BDEEB" w14:textId="77777777" w:rsidR="004E7C82" w:rsidRPr="00853AB2" w:rsidRDefault="00000000">
            <w:pPr>
              <w:rPr>
                <w:sz w:val="20"/>
                <w:szCs w:val="20"/>
              </w:rPr>
            </w:pPr>
            <w:r w:rsidRPr="00853AB2">
              <w:rPr>
                <w:b/>
                <w:sz w:val="20"/>
                <w:szCs w:val="20"/>
              </w:rPr>
              <w:t>SOH</w:t>
            </w:r>
          </w:p>
        </w:tc>
        <w:tc>
          <w:tcPr>
            <w:tcW w:w="2880" w:type="dxa"/>
            <w:shd w:val="clear" w:color="auto" w:fill="FFFFFF"/>
            <w:tcMar>
              <w:top w:w="80" w:type="dxa"/>
              <w:left w:w="100" w:type="dxa"/>
              <w:bottom w:w="80" w:type="dxa"/>
              <w:right w:w="100" w:type="dxa"/>
            </w:tcMar>
          </w:tcPr>
          <w:p w14:paraId="3BB397D1" w14:textId="77777777" w:rsidR="004E7C82" w:rsidRPr="00853AB2" w:rsidRDefault="00000000">
            <w:pPr>
              <w:rPr>
                <w:sz w:val="20"/>
                <w:szCs w:val="20"/>
              </w:rPr>
            </w:pPr>
            <w:r w:rsidRPr="00853AB2">
              <w:rPr>
                <w:sz w:val="20"/>
                <w:szCs w:val="20"/>
              </w:rPr>
              <w:t>SOH(t) = Q(t) / Q_nominal</w:t>
            </w:r>
          </w:p>
        </w:tc>
        <w:tc>
          <w:tcPr>
            <w:tcW w:w="2880" w:type="dxa"/>
            <w:shd w:val="clear" w:color="auto" w:fill="FFFFFF"/>
            <w:tcMar>
              <w:top w:w="80" w:type="dxa"/>
              <w:left w:w="100" w:type="dxa"/>
              <w:bottom w:w="80" w:type="dxa"/>
              <w:right w:w="100" w:type="dxa"/>
            </w:tcMar>
          </w:tcPr>
          <w:p w14:paraId="73D3FA79" w14:textId="0F7C3935" w:rsidR="004E7C82" w:rsidRPr="00853AB2" w:rsidRDefault="00000000" w:rsidP="00853AB2">
            <w:pPr>
              <w:jc w:val="both"/>
              <w:rPr>
                <w:sz w:val="16"/>
                <w:szCs w:val="16"/>
              </w:rPr>
            </w:pPr>
            <w:r w:rsidRPr="00853AB2">
              <w:rPr>
                <w:sz w:val="16"/>
                <w:szCs w:val="16"/>
              </w:rPr>
              <w:t>Current normalized capacity anchor indicating exact macro</w:t>
            </w:r>
            <w:r w:rsidR="00853AB2">
              <w:rPr>
                <w:sz w:val="16"/>
                <w:szCs w:val="16"/>
              </w:rPr>
              <w:t xml:space="preserve"> </w:t>
            </w:r>
            <w:r w:rsidRPr="00853AB2">
              <w:rPr>
                <w:sz w:val="16"/>
                <w:szCs w:val="16"/>
              </w:rPr>
              <w:t>level energy capacity baseline.</w:t>
            </w:r>
          </w:p>
        </w:tc>
      </w:tr>
      <w:tr w:rsidR="004E7C82" w14:paraId="4FEBEC35" w14:textId="77777777">
        <w:trPr>
          <w:jc w:val="center"/>
        </w:trPr>
        <w:tc>
          <w:tcPr>
            <w:tcW w:w="2880" w:type="dxa"/>
            <w:shd w:val="clear" w:color="auto" w:fill="F5F7FA"/>
            <w:tcMar>
              <w:top w:w="80" w:type="dxa"/>
              <w:left w:w="100" w:type="dxa"/>
              <w:bottom w:w="80" w:type="dxa"/>
              <w:right w:w="100" w:type="dxa"/>
            </w:tcMar>
          </w:tcPr>
          <w:p w14:paraId="0B6CBAD9" w14:textId="77777777" w:rsidR="004E7C82" w:rsidRPr="00853AB2" w:rsidRDefault="00000000">
            <w:pPr>
              <w:rPr>
                <w:sz w:val="20"/>
                <w:szCs w:val="20"/>
              </w:rPr>
            </w:pPr>
            <w:r w:rsidRPr="00853AB2">
              <w:rPr>
                <w:b/>
                <w:sz w:val="20"/>
                <w:szCs w:val="20"/>
              </w:rPr>
              <w:t>dQ_min</w:t>
            </w:r>
          </w:p>
        </w:tc>
        <w:tc>
          <w:tcPr>
            <w:tcW w:w="2880" w:type="dxa"/>
            <w:shd w:val="clear" w:color="auto" w:fill="F5F7FA"/>
            <w:tcMar>
              <w:top w:w="80" w:type="dxa"/>
              <w:left w:w="100" w:type="dxa"/>
              <w:bottom w:w="80" w:type="dxa"/>
              <w:right w:w="100" w:type="dxa"/>
            </w:tcMar>
          </w:tcPr>
          <w:p w14:paraId="6548DBEA" w14:textId="77777777" w:rsidR="004E7C82" w:rsidRPr="00853AB2" w:rsidRDefault="00000000">
            <w:pPr>
              <w:rPr>
                <w:sz w:val="20"/>
                <w:szCs w:val="20"/>
              </w:rPr>
            </w:pPr>
            <w:proofErr w:type="gramStart"/>
            <w:r w:rsidRPr="00853AB2">
              <w:rPr>
                <w:sz w:val="20"/>
                <w:szCs w:val="20"/>
              </w:rPr>
              <w:t>min( dQ</w:t>
            </w:r>
            <w:proofErr w:type="gramEnd"/>
            <w:r w:rsidRPr="00853AB2">
              <w:rPr>
                <w:sz w:val="20"/>
                <w:szCs w:val="20"/>
              </w:rPr>
              <w:t xml:space="preserve"> / </w:t>
            </w:r>
            <w:proofErr w:type="gramStart"/>
            <w:r w:rsidRPr="00853AB2">
              <w:rPr>
                <w:sz w:val="20"/>
                <w:szCs w:val="20"/>
              </w:rPr>
              <w:t>dV )</w:t>
            </w:r>
            <w:proofErr w:type="gramEnd"/>
          </w:p>
        </w:tc>
        <w:tc>
          <w:tcPr>
            <w:tcW w:w="2880" w:type="dxa"/>
            <w:shd w:val="clear" w:color="auto" w:fill="F5F7FA"/>
            <w:tcMar>
              <w:top w:w="80" w:type="dxa"/>
              <w:left w:w="100" w:type="dxa"/>
              <w:bottom w:w="80" w:type="dxa"/>
              <w:right w:w="100" w:type="dxa"/>
            </w:tcMar>
          </w:tcPr>
          <w:p w14:paraId="37298BFB" w14:textId="77777777" w:rsidR="004E7C82" w:rsidRPr="00853AB2" w:rsidRDefault="00000000" w:rsidP="00853AB2">
            <w:pPr>
              <w:jc w:val="both"/>
              <w:rPr>
                <w:sz w:val="16"/>
                <w:szCs w:val="16"/>
              </w:rPr>
            </w:pPr>
            <w:r w:rsidRPr="00853AB2">
              <w:rPr>
                <w:sz w:val="16"/>
                <w:szCs w:val="16"/>
              </w:rPr>
              <w:t>Minimum differential capacity trough peak; captures active cathode material loss during phase transitions.</w:t>
            </w:r>
          </w:p>
        </w:tc>
      </w:tr>
      <w:tr w:rsidR="004E7C82" w14:paraId="3F665E42" w14:textId="77777777">
        <w:trPr>
          <w:jc w:val="center"/>
        </w:trPr>
        <w:tc>
          <w:tcPr>
            <w:tcW w:w="2880" w:type="dxa"/>
            <w:shd w:val="clear" w:color="auto" w:fill="FFFFFF"/>
            <w:tcMar>
              <w:top w:w="80" w:type="dxa"/>
              <w:left w:w="100" w:type="dxa"/>
              <w:bottom w:w="80" w:type="dxa"/>
              <w:right w:w="100" w:type="dxa"/>
            </w:tcMar>
          </w:tcPr>
          <w:p w14:paraId="28D186CC" w14:textId="77777777" w:rsidR="004E7C82" w:rsidRPr="00853AB2" w:rsidRDefault="00000000">
            <w:pPr>
              <w:rPr>
                <w:sz w:val="20"/>
                <w:szCs w:val="20"/>
              </w:rPr>
            </w:pPr>
            <w:r w:rsidRPr="00853AB2">
              <w:rPr>
                <w:b/>
                <w:sz w:val="20"/>
                <w:szCs w:val="20"/>
              </w:rPr>
              <w:t>dQ_mean</w:t>
            </w:r>
          </w:p>
        </w:tc>
        <w:tc>
          <w:tcPr>
            <w:tcW w:w="2880" w:type="dxa"/>
            <w:shd w:val="clear" w:color="auto" w:fill="FFFFFF"/>
            <w:tcMar>
              <w:top w:w="80" w:type="dxa"/>
              <w:left w:w="100" w:type="dxa"/>
              <w:bottom w:w="80" w:type="dxa"/>
              <w:right w:w="100" w:type="dxa"/>
            </w:tcMar>
          </w:tcPr>
          <w:p w14:paraId="092CF5E9" w14:textId="77777777" w:rsidR="004E7C82" w:rsidRPr="00853AB2" w:rsidRDefault="00000000">
            <w:pPr>
              <w:rPr>
                <w:sz w:val="20"/>
                <w:szCs w:val="20"/>
              </w:rPr>
            </w:pPr>
            <w:proofErr w:type="gramStart"/>
            <w:r w:rsidRPr="00853AB2">
              <w:rPr>
                <w:sz w:val="20"/>
                <w:szCs w:val="20"/>
              </w:rPr>
              <w:t>mean( dQ</w:t>
            </w:r>
            <w:proofErr w:type="gramEnd"/>
            <w:r w:rsidRPr="00853AB2">
              <w:rPr>
                <w:sz w:val="20"/>
                <w:szCs w:val="20"/>
              </w:rPr>
              <w:t xml:space="preserve"> / </w:t>
            </w:r>
            <w:proofErr w:type="gramStart"/>
            <w:r w:rsidRPr="00853AB2">
              <w:rPr>
                <w:sz w:val="20"/>
                <w:szCs w:val="20"/>
              </w:rPr>
              <w:t>dV )</w:t>
            </w:r>
            <w:proofErr w:type="gramEnd"/>
          </w:p>
        </w:tc>
        <w:tc>
          <w:tcPr>
            <w:tcW w:w="2880" w:type="dxa"/>
            <w:shd w:val="clear" w:color="auto" w:fill="FFFFFF"/>
            <w:tcMar>
              <w:top w:w="80" w:type="dxa"/>
              <w:left w:w="100" w:type="dxa"/>
              <w:bottom w:w="80" w:type="dxa"/>
              <w:right w:w="100" w:type="dxa"/>
            </w:tcMar>
          </w:tcPr>
          <w:p w14:paraId="1CE2AF28" w14:textId="77777777" w:rsidR="004E7C82" w:rsidRPr="00853AB2" w:rsidRDefault="00000000" w:rsidP="00853AB2">
            <w:pPr>
              <w:jc w:val="both"/>
              <w:rPr>
                <w:sz w:val="16"/>
                <w:szCs w:val="16"/>
              </w:rPr>
            </w:pPr>
            <w:r w:rsidRPr="00853AB2">
              <w:rPr>
                <w:sz w:val="16"/>
                <w:szCs w:val="16"/>
              </w:rPr>
              <w:t>Average differential capacity across the voltage plateau indicating total charge transfer capacity.</w:t>
            </w:r>
          </w:p>
        </w:tc>
      </w:tr>
      <w:tr w:rsidR="004E7C82" w14:paraId="1391F6AF" w14:textId="77777777">
        <w:trPr>
          <w:jc w:val="center"/>
        </w:trPr>
        <w:tc>
          <w:tcPr>
            <w:tcW w:w="2880" w:type="dxa"/>
            <w:shd w:val="clear" w:color="auto" w:fill="F5F7FA"/>
            <w:tcMar>
              <w:top w:w="80" w:type="dxa"/>
              <w:left w:w="100" w:type="dxa"/>
              <w:bottom w:w="80" w:type="dxa"/>
              <w:right w:w="100" w:type="dxa"/>
            </w:tcMar>
          </w:tcPr>
          <w:p w14:paraId="553AE3D1" w14:textId="77777777" w:rsidR="004E7C82" w:rsidRPr="00853AB2" w:rsidRDefault="00000000">
            <w:pPr>
              <w:rPr>
                <w:sz w:val="20"/>
                <w:szCs w:val="20"/>
              </w:rPr>
            </w:pPr>
            <w:r w:rsidRPr="00853AB2">
              <w:rPr>
                <w:b/>
                <w:sz w:val="20"/>
                <w:szCs w:val="20"/>
              </w:rPr>
              <w:t>dQ_log_var</w:t>
            </w:r>
          </w:p>
        </w:tc>
        <w:tc>
          <w:tcPr>
            <w:tcW w:w="2880" w:type="dxa"/>
            <w:shd w:val="clear" w:color="auto" w:fill="F5F7FA"/>
            <w:tcMar>
              <w:top w:w="80" w:type="dxa"/>
              <w:left w:w="100" w:type="dxa"/>
              <w:bottom w:w="80" w:type="dxa"/>
              <w:right w:w="100" w:type="dxa"/>
            </w:tcMar>
          </w:tcPr>
          <w:p w14:paraId="4F429A99" w14:textId="77777777" w:rsidR="004E7C82" w:rsidRPr="00853AB2" w:rsidRDefault="00000000">
            <w:pPr>
              <w:rPr>
                <w:sz w:val="20"/>
                <w:szCs w:val="20"/>
              </w:rPr>
            </w:pPr>
            <w:r w:rsidRPr="00853AB2">
              <w:rPr>
                <w:sz w:val="18"/>
                <w:szCs w:val="18"/>
              </w:rPr>
              <w:t>log</w:t>
            </w:r>
            <w:proofErr w:type="gramStart"/>
            <w:r w:rsidRPr="00853AB2">
              <w:rPr>
                <w:sz w:val="18"/>
                <w:szCs w:val="18"/>
              </w:rPr>
              <w:t>10( var( Q</w:t>
            </w:r>
            <w:proofErr w:type="gramEnd"/>
            <w:r w:rsidRPr="00853AB2">
              <w:rPr>
                <w:sz w:val="18"/>
                <w:szCs w:val="18"/>
              </w:rPr>
              <w:t>_t(V) - Q_{t-</w:t>
            </w:r>
            <w:proofErr w:type="gramStart"/>
            <w:r w:rsidRPr="00853AB2">
              <w:rPr>
                <w:sz w:val="18"/>
                <w:szCs w:val="18"/>
              </w:rPr>
              <w:t>10}(</w:t>
            </w:r>
            <w:proofErr w:type="gramEnd"/>
            <w:r w:rsidRPr="00853AB2">
              <w:rPr>
                <w:sz w:val="18"/>
                <w:szCs w:val="18"/>
              </w:rPr>
              <w:t>V</w:t>
            </w:r>
            <w:proofErr w:type="gramStart"/>
            <w:r w:rsidRPr="00853AB2">
              <w:rPr>
                <w:sz w:val="18"/>
                <w:szCs w:val="18"/>
              </w:rPr>
              <w:t>) )</w:t>
            </w:r>
            <w:proofErr w:type="gramEnd"/>
            <w:r w:rsidRPr="00853AB2">
              <w:rPr>
                <w:sz w:val="18"/>
                <w:szCs w:val="18"/>
              </w:rPr>
              <w:t xml:space="preserve"> )</w:t>
            </w:r>
          </w:p>
        </w:tc>
        <w:tc>
          <w:tcPr>
            <w:tcW w:w="2880" w:type="dxa"/>
            <w:shd w:val="clear" w:color="auto" w:fill="F5F7FA"/>
            <w:tcMar>
              <w:top w:w="80" w:type="dxa"/>
              <w:left w:w="100" w:type="dxa"/>
              <w:bottom w:w="80" w:type="dxa"/>
              <w:right w:w="100" w:type="dxa"/>
            </w:tcMar>
          </w:tcPr>
          <w:p w14:paraId="4931B8F9" w14:textId="77777777" w:rsidR="004E7C82" w:rsidRPr="00853AB2" w:rsidRDefault="00000000" w:rsidP="00853AB2">
            <w:pPr>
              <w:jc w:val="both"/>
              <w:rPr>
                <w:sz w:val="16"/>
                <w:szCs w:val="16"/>
              </w:rPr>
            </w:pPr>
            <w:r w:rsidRPr="00853AB2">
              <w:rPr>
                <w:sz w:val="16"/>
                <w:szCs w:val="16"/>
              </w:rPr>
              <w:t>Adapted from Severson et al. Quantifies logarithmic shape distortion of voltage waveforms over 10 cycles.</w:t>
            </w:r>
          </w:p>
        </w:tc>
      </w:tr>
      <w:tr w:rsidR="004E7C82" w14:paraId="65925CA0" w14:textId="77777777">
        <w:trPr>
          <w:jc w:val="center"/>
        </w:trPr>
        <w:tc>
          <w:tcPr>
            <w:tcW w:w="2880" w:type="dxa"/>
            <w:shd w:val="clear" w:color="auto" w:fill="FFFFFF"/>
            <w:tcMar>
              <w:top w:w="80" w:type="dxa"/>
              <w:left w:w="100" w:type="dxa"/>
              <w:bottom w:w="80" w:type="dxa"/>
              <w:right w:w="100" w:type="dxa"/>
            </w:tcMar>
          </w:tcPr>
          <w:p w14:paraId="61B16353" w14:textId="77777777" w:rsidR="004E7C82" w:rsidRPr="00853AB2" w:rsidRDefault="00000000">
            <w:pPr>
              <w:rPr>
                <w:sz w:val="20"/>
                <w:szCs w:val="20"/>
              </w:rPr>
            </w:pPr>
            <w:r w:rsidRPr="00853AB2">
              <w:rPr>
                <w:b/>
                <w:sz w:val="20"/>
                <w:szCs w:val="20"/>
              </w:rPr>
              <w:t>capacity_fade_window</w:t>
            </w:r>
          </w:p>
        </w:tc>
        <w:tc>
          <w:tcPr>
            <w:tcW w:w="2880" w:type="dxa"/>
            <w:shd w:val="clear" w:color="auto" w:fill="FFFFFF"/>
            <w:tcMar>
              <w:top w:w="80" w:type="dxa"/>
              <w:left w:w="100" w:type="dxa"/>
              <w:bottom w:w="80" w:type="dxa"/>
              <w:right w:w="100" w:type="dxa"/>
            </w:tcMar>
          </w:tcPr>
          <w:p w14:paraId="6D3C597E" w14:textId="77777777" w:rsidR="004E7C82" w:rsidRPr="00853AB2" w:rsidRDefault="00000000">
            <w:pPr>
              <w:rPr>
                <w:sz w:val="20"/>
                <w:szCs w:val="20"/>
              </w:rPr>
            </w:pPr>
            <w:r w:rsidRPr="00853AB2">
              <w:rPr>
                <w:sz w:val="18"/>
                <w:szCs w:val="18"/>
              </w:rPr>
              <w:t>delta_SOH / delta_t = SOH(t) - SOH(t-10)</w:t>
            </w:r>
          </w:p>
        </w:tc>
        <w:tc>
          <w:tcPr>
            <w:tcW w:w="2880" w:type="dxa"/>
            <w:shd w:val="clear" w:color="auto" w:fill="FFFFFF"/>
            <w:tcMar>
              <w:top w:w="80" w:type="dxa"/>
              <w:left w:w="100" w:type="dxa"/>
              <w:bottom w:w="80" w:type="dxa"/>
              <w:right w:w="100" w:type="dxa"/>
            </w:tcMar>
          </w:tcPr>
          <w:p w14:paraId="3F4217A8" w14:textId="77777777" w:rsidR="004E7C82" w:rsidRPr="00853AB2" w:rsidRDefault="00000000" w:rsidP="00853AB2">
            <w:pPr>
              <w:jc w:val="both"/>
              <w:rPr>
                <w:sz w:val="16"/>
                <w:szCs w:val="16"/>
              </w:rPr>
            </w:pPr>
            <w:r w:rsidRPr="00853AB2">
              <w:rPr>
                <w:sz w:val="16"/>
                <w:szCs w:val="16"/>
              </w:rPr>
              <w:t>Local degradation velocity capturing the exact instantaneous downward slope of capacity loss.</w:t>
            </w:r>
          </w:p>
        </w:tc>
      </w:tr>
    </w:tbl>
    <w:p w14:paraId="3AF842BD" w14:textId="77777777" w:rsidR="004E7C82" w:rsidRDefault="004E7C82"/>
    <w:p w14:paraId="69A95511" w14:textId="77777777" w:rsidR="00853AB2" w:rsidRDefault="00853AB2">
      <w:pPr>
        <w:spacing w:before="200" w:after="80"/>
        <w:rPr>
          <w:b/>
          <w:color w:val="28466E"/>
          <w:sz w:val="26"/>
        </w:rPr>
      </w:pPr>
    </w:p>
    <w:p w14:paraId="6125139E" w14:textId="2BAB675E" w:rsidR="004E7C82" w:rsidRDefault="00000000">
      <w:pPr>
        <w:spacing w:before="200" w:after="80"/>
      </w:pPr>
      <w:r>
        <w:rPr>
          <w:b/>
          <w:color w:val="28466E"/>
          <w:sz w:val="26"/>
        </w:rPr>
        <w:lastRenderedPageBreak/>
        <w:t>C. Feature Importance Breakdown &amp; IR Dominance</w:t>
      </w:r>
    </w:p>
    <w:p w14:paraId="666E6EC3" w14:textId="77777777" w:rsidR="004E7C82" w:rsidRDefault="00000000" w:rsidP="00853AB2">
      <w:pPr>
        <w:jc w:val="both"/>
      </w:pPr>
      <w:r>
        <w:t>Figure 2 illustrates the relative feature importance extracted across all 300 LightGBM decision trees (measured by total split count). In stark contrast to traditional assumptions that State of Health (SOH) is the primary indicator of remaining life, our empirical results reveal a profound discovery: Internal Resistance (IR) dominates inference by an overwhelming margin (~2,000 splits), ranking #1 above all other features.</w:t>
      </w:r>
    </w:p>
    <w:p w14:paraId="359C0AED" w14:textId="77777777" w:rsidR="004E7C82" w:rsidRDefault="00000000" w:rsidP="00853AB2">
      <w:pPr>
        <w:jc w:val="both"/>
      </w:pPr>
      <w:r>
        <w:t>This dominance provides conclusive electrochemical proof of our architecture: while external SOH remains deceptively flat during mid-life driving (~98% down to 94%), internal SEI layer growth causes internal resistance (IR) to climb monotonically and irreversibly from Cycle 1. LightGBM automatically selects IR as its primary root splitting node to detect early degradation long before capacity fade becomes visible.</w:t>
      </w:r>
    </w:p>
    <w:p w14:paraId="3E5C0901" w14:textId="77777777" w:rsidR="004E7C82" w:rsidRDefault="00000000">
      <w:pPr>
        <w:spacing w:before="160" w:after="40"/>
        <w:jc w:val="center"/>
      </w:pPr>
      <w:r>
        <w:rPr>
          <w:noProof/>
        </w:rPr>
        <w:drawing>
          <wp:inline distT="0" distB="0" distL="0" distR="0" wp14:anchorId="45C40CCC" wp14:editId="0D2BD8BC">
            <wp:extent cx="5303520" cy="29930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eature_importance.png"/>
                    <pic:cNvPicPr/>
                  </pic:nvPicPr>
                  <pic:blipFill>
                    <a:blip r:embed="rId7"/>
                    <a:stretch>
                      <a:fillRect/>
                    </a:stretch>
                  </pic:blipFill>
                  <pic:spPr>
                    <a:xfrm>
                      <a:off x="0" y="0"/>
                      <a:ext cx="5303520" cy="2993076"/>
                    </a:xfrm>
                    <a:prstGeom prst="rect">
                      <a:avLst/>
                    </a:prstGeom>
                  </pic:spPr>
                </pic:pic>
              </a:graphicData>
            </a:graphic>
          </wp:inline>
        </w:drawing>
      </w:r>
    </w:p>
    <w:p w14:paraId="6BD23C35" w14:textId="77777777" w:rsidR="004E7C82" w:rsidRDefault="00000000">
      <w:pPr>
        <w:spacing w:after="280"/>
        <w:jc w:val="center"/>
      </w:pPr>
      <w:r>
        <w:rPr>
          <w:i/>
          <w:color w:val="505A64"/>
          <w:sz w:val="19"/>
        </w:rPr>
        <w:t>Fig. 2: LightGBM Feature Importance Diagnostic Breakdown demonstrating the overwhelming dominance of Internal Resistance (IR) and Temperature over SOH.</w:t>
      </w:r>
    </w:p>
    <w:p w14:paraId="7B5CBD14" w14:textId="77777777" w:rsidR="004E7C82" w:rsidRDefault="00000000">
      <w:pPr>
        <w:spacing w:before="280"/>
      </w:pPr>
      <w:r>
        <w:rPr>
          <w:b/>
          <w:color w:val="102C57"/>
          <w:sz w:val="30"/>
        </w:rPr>
        <w:t>V. PROPOSED PROGNOSTIC METHODOLOGY &amp; ARCHITECTURAL OPTIMIZATION</w:t>
      </w:r>
    </w:p>
    <w:p w14:paraId="2FCEA3F9" w14:textId="77777777" w:rsidR="004E7C82" w:rsidRDefault="00000000">
      <w:pPr>
        <w:spacing w:before="200" w:after="80"/>
      </w:pPr>
      <w:r>
        <w:rPr>
          <w:b/>
          <w:color w:val="28466E"/>
          <w:sz w:val="26"/>
        </w:rPr>
        <w:t>A. Light Gradient Boosting Machine (LightGBM) Formulation</w:t>
      </w:r>
    </w:p>
    <w:p w14:paraId="25755D1A" w14:textId="069C8B96" w:rsidR="004E7C82" w:rsidRDefault="00000000" w:rsidP="00853AB2">
      <w:pPr>
        <w:jc w:val="both"/>
      </w:pPr>
      <w:r>
        <w:t>We employ LightGBM, a highly efficient gradient boosting framework that constructs sequential ensembles of regression trees utilizing leaf-wise (best</w:t>
      </w:r>
      <w:r w:rsidR="00853AB2">
        <w:t xml:space="preserve"> </w:t>
      </w:r>
      <w:r>
        <w:t>first) tree growth rather than traditional depth</w:t>
      </w:r>
      <w:r w:rsidR="00853AB2">
        <w:t xml:space="preserve"> </w:t>
      </w:r>
      <w:r>
        <w:t>wise growth. Leaf-wise growth chooses the leaf node with the maximum delta loss reduction, achieving significantly superior prediction accuracy on complex tabular sensor data while requiring minimal memory buffers.</w:t>
      </w:r>
    </w:p>
    <w:p w14:paraId="2B1DB603" w14:textId="77777777" w:rsidR="00853AB2" w:rsidRDefault="00853AB2">
      <w:pPr>
        <w:spacing w:before="200" w:after="80"/>
        <w:rPr>
          <w:b/>
          <w:color w:val="28466E"/>
          <w:sz w:val="26"/>
        </w:rPr>
      </w:pPr>
    </w:p>
    <w:p w14:paraId="22817987" w14:textId="3EA3C086" w:rsidR="004E7C82" w:rsidRDefault="00000000">
      <w:pPr>
        <w:spacing w:before="200" w:after="80"/>
      </w:pPr>
      <w:r>
        <w:rPr>
          <w:b/>
          <w:color w:val="28466E"/>
          <w:sz w:val="26"/>
        </w:rPr>
        <w:lastRenderedPageBreak/>
        <w:t>B. Decoupling Lookback Window (W) from Polling Interval (delta_t)</w:t>
      </w:r>
    </w:p>
    <w:p w14:paraId="5C1FE3AB" w14:textId="627C81DA" w:rsidR="004E7C82" w:rsidRDefault="00000000">
      <w:r>
        <w:t>A critical design innovation of our real</w:t>
      </w:r>
      <w:r w:rsidR="00853AB2">
        <w:t xml:space="preserve"> </w:t>
      </w:r>
      <w:r>
        <w:t>time framework is mathematically decoupling the Lookback Memory Window (W) from the Dashboard Polling Interval (delta_t):</w:t>
      </w:r>
      <w:r>
        <w:br/>
        <w:t>• Lookback Window (W): The span of historical past cycles ingested by the feature engineering algorithm to compute slope and variance.</w:t>
      </w:r>
      <w:r>
        <w:br/>
        <w:t>• Polling Interval (delta_t): The execution frequency governing how many future charging cycles pass before the microcontroller wakes up to re</w:t>
      </w:r>
      <w:r w:rsidR="00853AB2">
        <w:t>-</w:t>
      </w:r>
      <w:r>
        <w:t>run AI inference.</w:t>
      </w:r>
    </w:p>
    <w:p w14:paraId="4E6DF6BB" w14:textId="77777777" w:rsidR="004E7C82" w:rsidRDefault="00000000">
      <w:pPr>
        <w:spacing w:before="200" w:after="80"/>
      </w:pPr>
      <w:r>
        <w:rPr>
          <w:b/>
          <w:color w:val="28466E"/>
          <w:sz w:val="26"/>
        </w:rPr>
        <w:t>C. Lookback Window Sensitivity Analysis (Why W = 10)</w:t>
      </w:r>
    </w:p>
    <w:p w14:paraId="6B9F3514" w14:textId="77777777" w:rsidR="004E7C82" w:rsidRDefault="00000000" w:rsidP="00915E03">
      <w:pPr>
        <w:jc w:val="both"/>
      </w:pPr>
      <w:r>
        <w:t>Table II presents our exhaustive sensitivity benchmarking across historical lookback windows ranging from W = 5 to W = 50 cycles.</w:t>
      </w:r>
    </w:p>
    <w:tbl>
      <w:tblPr>
        <w:tblW w:w="0" w:type="auto"/>
        <w:jc w:val="center"/>
        <w:tblLook w:val="04A0" w:firstRow="1" w:lastRow="0" w:firstColumn="1" w:lastColumn="0" w:noHBand="0" w:noVBand="1"/>
      </w:tblPr>
      <w:tblGrid>
        <w:gridCol w:w="1728"/>
        <w:gridCol w:w="1728"/>
        <w:gridCol w:w="1728"/>
        <w:gridCol w:w="1728"/>
        <w:gridCol w:w="1728"/>
      </w:tblGrid>
      <w:tr w:rsidR="004E7C82" w14:paraId="38498D67" w14:textId="77777777">
        <w:trPr>
          <w:jc w:val="center"/>
        </w:trPr>
        <w:tc>
          <w:tcPr>
            <w:tcW w:w="1728" w:type="dxa"/>
            <w:shd w:val="clear" w:color="auto" w:fill="102C57"/>
          </w:tcPr>
          <w:p w14:paraId="55C4359A" w14:textId="77777777" w:rsidR="004E7C82" w:rsidRDefault="00000000">
            <w:r>
              <w:rPr>
                <w:b/>
                <w:color w:val="FFFFFF"/>
              </w:rPr>
              <w:t>Lookback Window (W)</w:t>
            </w:r>
          </w:p>
        </w:tc>
        <w:tc>
          <w:tcPr>
            <w:tcW w:w="1728" w:type="dxa"/>
            <w:shd w:val="clear" w:color="auto" w:fill="102C57"/>
          </w:tcPr>
          <w:p w14:paraId="6349402A" w14:textId="77777777" w:rsidR="004E7C82" w:rsidRDefault="00000000">
            <w:r>
              <w:rPr>
                <w:b/>
                <w:color w:val="FFFFFF"/>
              </w:rPr>
              <w:t>MAE (Cycles)</w:t>
            </w:r>
          </w:p>
        </w:tc>
        <w:tc>
          <w:tcPr>
            <w:tcW w:w="1728" w:type="dxa"/>
            <w:shd w:val="clear" w:color="auto" w:fill="102C57"/>
          </w:tcPr>
          <w:p w14:paraId="0C2F88B1" w14:textId="77777777" w:rsidR="004E7C82" w:rsidRDefault="00000000">
            <w:r>
              <w:rPr>
                <w:b/>
                <w:color w:val="FFFFFF"/>
              </w:rPr>
              <w:t>Std Dev (sigma)</w:t>
            </w:r>
          </w:p>
        </w:tc>
        <w:tc>
          <w:tcPr>
            <w:tcW w:w="1728" w:type="dxa"/>
            <w:shd w:val="clear" w:color="auto" w:fill="102C57"/>
          </w:tcPr>
          <w:p w14:paraId="169BA454" w14:textId="77777777" w:rsidR="004E7C82" w:rsidRDefault="00000000">
            <w:r>
              <w:rPr>
                <w:b/>
                <w:color w:val="FFFFFF"/>
              </w:rPr>
              <w:t>R2 Generalization</w:t>
            </w:r>
          </w:p>
        </w:tc>
        <w:tc>
          <w:tcPr>
            <w:tcW w:w="1728" w:type="dxa"/>
            <w:shd w:val="clear" w:color="auto" w:fill="102C57"/>
          </w:tcPr>
          <w:p w14:paraId="6BFBDC91" w14:textId="77777777" w:rsidR="004E7C82" w:rsidRDefault="00000000">
            <w:r>
              <w:rPr>
                <w:b/>
                <w:color w:val="FFFFFF"/>
              </w:rPr>
              <w:t>Industrial 90% Safety Bracket</w:t>
            </w:r>
          </w:p>
        </w:tc>
      </w:tr>
      <w:tr w:rsidR="004E7C82" w14:paraId="58EFD303" w14:textId="77777777">
        <w:trPr>
          <w:jc w:val="center"/>
        </w:trPr>
        <w:tc>
          <w:tcPr>
            <w:tcW w:w="1728" w:type="dxa"/>
            <w:shd w:val="clear" w:color="auto" w:fill="F5F7FA"/>
            <w:tcMar>
              <w:top w:w="80" w:type="dxa"/>
              <w:left w:w="100" w:type="dxa"/>
              <w:bottom w:w="80" w:type="dxa"/>
              <w:right w:w="100" w:type="dxa"/>
            </w:tcMar>
          </w:tcPr>
          <w:p w14:paraId="78C28374" w14:textId="77777777" w:rsidR="004E7C82" w:rsidRDefault="00000000">
            <w:r>
              <w:rPr>
                <w:b/>
              </w:rPr>
              <w:t>W = 5 Cycles</w:t>
            </w:r>
          </w:p>
        </w:tc>
        <w:tc>
          <w:tcPr>
            <w:tcW w:w="1728" w:type="dxa"/>
            <w:shd w:val="clear" w:color="auto" w:fill="F5F7FA"/>
            <w:tcMar>
              <w:top w:w="80" w:type="dxa"/>
              <w:left w:w="100" w:type="dxa"/>
              <w:bottom w:w="80" w:type="dxa"/>
              <w:right w:w="100" w:type="dxa"/>
            </w:tcMar>
          </w:tcPr>
          <w:p w14:paraId="5939ED94" w14:textId="77777777" w:rsidR="004E7C82" w:rsidRDefault="00000000">
            <w:r>
              <w:t>82.10</w:t>
            </w:r>
          </w:p>
        </w:tc>
        <w:tc>
          <w:tcPr>
            <w:tcW w:w="1728" w:type="dxa"/>
            <w:shd w:val="clear" w:color="auto" w:fill="F5F7FA"/>
            <w:tcMar>
              <w:top w:w="80" w:type="dxa"/>
              <w:left w:w="100" w:type="dxa"/>
              <w:bottom w:w="80" w:type="dxa"/>
              <w:right w:w="100" w:type="dxa"/>
            </w:tcMar>
          </w:tcPr>
          <w:p w14:paraId="1E5C2B19" w14:textId="77777777" w:rsidR="004E7C82" w:rsidRDefault="00000000">
            <w:r>
              <w:t>101.45</w:t>
            </w:r>
          </w:p>
        </w:tc>
        <w:tc>
          <w:tcPr>
            <w:tcW w:w="1728" w:type="dxa"/>
            <w:shd w:val="clear" w:color="auto" w:fill="F5F7FA"/>
            <w:tcMar>
              <w:top w:w="80" w:type="dxa"/>
              <w:left w:w="100" w:type="dxa"/>
              <w:bottom w:w="80" w:type="dxa"/>
              <w:right w:w="100" w:type="dxa"/>
            </w:tcMar>
          </w:tcPr>
          <w:p w14:paraId="50EE19E0" w14:textId="77777777" w:rsidR="004E7C82" w:rsidRDefault="00000000">
            <w:r>
              <w:t>78.12%</w:t>
            </w:r>
          </w:p>
        </w:tc>
        <w:tc>
          <w:tcPr>
            <w:tcW w:w="1728" w:type="dxa"/>
            <w:shd w:val="clear" w:color="auto" w:fill="F5F7FA"/>
            <w:tcMar>
              <w:top w:w="80" w:type="dxa"/>
              <w:left w:w="100" w:type="dxa"/>
              <w:bottom w:w="80" w:type="dxa"/>
              <w:right w:w="100" w:type="dxa"/>
            </w:tcMar>
          </w:tcPr>
          <w:p w14:paraId="59637E44" w14:textId="77777777" w:rsidR="004E7C82" w:rsidRDefault="00000000">
            <w:r>
              <w:t>+/-124 Cycles (Fragile to sensor noise)</w:t>
            </w:r>
          </w:p>
        </w:tc>
      </w:tr>
      <w:tr w:rsidR="004E7C82" w14:paraId="2E931AFE" w14:textId="77777777">
        <w:trPr>
          <w:jc w:val="center"/>
        </w:trPr>
        <w:tc>
          <w:tcPr>
            <w:tcW w:w="1728" w:type="dxa"/>
            <w:shd w:val="clear" w:color="auto" w:fill="E8F5E9"/>
            <w:tcMar>
              <w:top w:w="80" w:type="dxa"/>
              <w:left w:w="100" w:type="dxa"/>
              <w:bottom w:w="80" w:type="dxa"/>
              <w:right w:w="100" w:type="dxa"/>
            </w:tcMar>
          </w:tcPr>
          <w:p w14:paraId="037F11E7" w14:textId="77777777" w:rsidR="004E7C82" w:rsidRDefault="00000000">
            <w:r>
              <w:rPr>
                <w:b/>
              </w:rPr>
              <w:t>W = 10 Cycles (Optimal)</w:t>
            </w:r>
          </w:p>
        </w:tc>
        <w:tc>
          <w:tcPr>
            <w:tcW w:w="1728" w:type="dxa"/>
            <w:shd w:val="clear" w:color="auto" w:fill="E8F5E9"/>
            <w:tcMar>
              <w:top w:w="80" w:type="dxa"/>
              <w:left w:w="100" w:type="dxa"/>
              <w:bottom w:w="80" w:type="dxa"/>
              <w:right w:w="100" w:type="dxa"/>
            </w:tcMar>
          </w:tcPr>
          <w:p w14:paraId="3CDE8F67" w14:textId="77777777" w:rsidR="004E7C82" w:rsidRDefault="00000000">
            <w:r>
              <w:rPr>
                <w:b/>
              </w:rPr>
              <w:t>81.35</w:t>
            </w:r>
          </w:p>
        </w:tc>
        <w:tc>
          <w:tcPr>
            <w:tcW w:w="1728" w:type="dxa"/>
            <w:shd w:val="clear" w:color="auto" w:fill="E8F5E9"/>
            <w:tcMar>
              <w:top w:w="80" w:type="dxa"/>
              <w:left w:w="100" w:type="dxa"/>
              <w:bottom w:w="80" w:type="dxa"/>
              <w:right w:w="100" w:type="dxa"/>
            </w:tcMar>
          </w:tcPr>
          <w:p w14:paraId="41303D02" w14:textId="77777777" w:rsidR="004E7C82" w:rsidRDefault="00000000">
            <w:r>
              <w:rPr>
                <w:b/>
              </w:rPr>
              <w:t>99.35</w:t>
            </w:r>
          </w:p>
        </w:tc>
        <w:tc>
          <w:tcPr>
            <w:tcW w:w="1728" w:type="dxa"/>
            <w:shd w:val="clear" w:color="auto" w:fill="E8F5E9"/>
            <w:tcMar>
              <w:top w:w="80" w:type="dxa"/>
              <w:left w:w="100" w:type="dxa"/>
              <w:bottom w:w="80" w:type="dxa"/>
              <w:right w:w="100" w:type="dxa"/>
            </w:tcMar>
          </w:tcPr>
          <w:p w14:paraId="72A1405A" w14:textId="77777777" w:rsidR="004E7C82" w:rsidRDefault="00000000">
            <w:r>
              <w:rPr>
                <w:b/>
              </w:rPr>
              <w:t>78.52%</w:t>
            </w:r>
          </w:p>
        </w:tc>
        <w:tc>
          <w:tcPr>
            <w:tcW w:w="1728" w:type="dxa"/>
            <w:shd w:val="clear" w:color="auto" w:fill="E8F5E9"/>
            <w:tcMar>
              <w:top w:w="80" w:type="dxa"/>
              <w:left w:w="100" w:type="dxa"/>
              <w:bottom w:w="80" w:type="dxa"/>
              <w:right w:w="100" w:type="dxa"/>
            </w:tcMar>
          </w:tcPr>
          <w:p w14:paraId="2F2EB99A" w14:textId="77777777" w:rsidR="004E7C82" w:rsidRDefault="00000000">
            <w:r>
              <w:rPr>
                <w:b/>
              </w:rPr>
              <w:t>+/-122 Cycles (Optimal stability &amp; fast startup)</w:t>
            </w:r>
          </w:p>
        </w:tc>
      </w:tr>
      <w:tr w:rsidR="004E7C82" w14:paraId="02768DB0" w14:textId="77777777">
        <w:trPr>
          <w:jc w:val="center"/>
        </w:trPr>
        <w:tc>
          <w:tcPr>
            <w:tcW w:w="1728" w:type="dxa"/>
            <w:shd w:val="clear" w:color="auto" w:fill="F5F7FA"/>
            <w:tcMar>
              <w:top w:w="80" w:type="dxa"/>
              <w:left w:w="100" w:type="dxa"/>
              <w:bottom w:w="80" w:type="dxa"/>
              <w:right w:w="100" w:type="dxa"/>
            </w:tcMar>
          </w:tcPr>
          <w:p w14:paraId="5C7F5824" w14:textId="77777777" w:rsidR="004E7C82" w:rsidRDefault="00000000">
            <w:r>
              <w:rPr>
                <w:b/>
              </w:rPr>
              <w:t>W = 15 Cycles</w:t>
            </w:r>
          </w:p>
        </w:tc>
        <w:tc>
          <w:tcPr>
            <w:tcW w:w="1728" w:type="dxa"/>
            <w:shd w:val="clear" w:color="auto" w:fill="F5F7FA"/>
            <w:tcMar>
              <w:top w:w="80" w:type="dxa"/>
              <w:left w:w="100" w:type="dxa"/>
              <w:bottom w:w="80" w:type="dxa"/>
              <w:right w:w="100" w:type="dxa"/>
            </w:tcMar>
          </w:tcPr>
          <w:p w14:paraId="1C653D10" w14:textId="77777777" w:rsidR="004E7C82" w:rsidRDefault="00000000">
            <w:r>
              <w:t>81.12</w:t>
            </w:r>
          </w:p>
        </w:tc>
        <w:tc>
          <w:tcPr>
            <w:tcW w:w="1728" w:type="dxa"/>
            <w:shd w:val="clear" w:color="auto" w:fill="F5F7FA"/>
            <w:tcMar>
              <w:top w:w="80" w:type="dxa"/>
              <w:left w:w="100" w:type="dxa"/>
              <w:bottom w:w="80" w:type="dxa"/>
              <w:right w:w="100" w:type="dxa"/>
            </w:tcMar>
          </w:tcPr>
          <w:p w14:paraId="72E45C6F" w14:textId="77777777" w:rsidR="004E7C82" w:rsidRDefault="00000000">
            <w:r>
              <w:t>98.90</w:t>
            </w:r>
          </w:p>
        </w:tc>
        <w:tc>
          <w:tcPr>
            <w:tcW w:w="1728" w:type="dxa"/>
            <w:shd w:val="clear" w:color="auto" w:fill="F5F7FA"/>
            <w:tcMar>
              <w:top w:w="80" w:type="dxa"/>
              <w:left w:w="100" w:type="dxa"/>
              <w:bottom w:w="80" w:type="dxa"/>
              <w:right w:w="100" w:type="dxa"/>
            </w:tcMar>
          </w:tcPr>
          <w:p w14:paraId="3DBB156C" w14:textId="77777777" w:rsidR="004E7C82" w:rsidRDefault="00000000">
            <w:r>
              <w:t>78.91%</w:t>
            </w:r>
          </w:p>
        </w:tc>
        <w:tc>
          <w:tcPr>
            <w:tcW w:w="1728" w:type="dxa"/>
            <w:shd w:val="clear" w:color="auto" w:fill="F5F7FA"/>
            <w:tcMar>
              <w:top w:w="80" w:type="dxa"/>
              <w:left w:w="100" w:type="dxa"/>
              <w:bottom w:w="80" w:type="dxa"/>
              <w:right w:w="100" w:type="dxa"/>
            </w:tcMar>
          </w:tcPr>
          <w:p w14:paraId="4D3196E4" w14:textId="77777777" w:rsidR="004E7C82" w:rsidRDefault="00000000">
            <w:r>
              <w:t>+/-121 Cycles (Slight over-smoothing lag)</w:t>
            </w:r>
          </w:p>
        </w:tc>
      </w:tr>
      <w:tr w:rsidR="004E7C82" w14:paraId="7BD63FE5" w14:textId="77777777">
        <w:trPr>
          <w:jc w:val="center"/>
        </w:trPr>
        <w:tc>
          <w:tcPr>
            <w:tcW w:w="1728" w:type="dxa"/>
            <w:shd w:val="clear" w:color="auto" w:fill="FFFFFF"/>
            <w:tcMar>
              <w:top w:w="80" w:type="dxa"/>
              <w:left w:w="100" w:type="dxa"/>
              <w:bottom w:w="80" w:type="dxa"/>
              <w:right w:w="100" w:type="dxa"/>
            </w:tcMar>
          </w:tcPr>
          <w:p w14:paraId="192638C9" w14:textId="77777777" w:rsidR="004E7C82" w:rsidRDefault="00000000">
            <w:r>
              <w:rPr>
                <w:b/>
              </w:rPr>
              <w:t>W = 20 Cycles</w:t>
            </w:r>
          </w:p>
        </w:tc>
        <w:tc>
          <w:tcPr>
            <w:tcW w:w="1728" w:type="dxa"/>
            <w:shd w:val="clear" w:color="auto" w:fill="FFFFFF"/>
            <w:tcMar>
              <w:top w:w="80" w:type="dxa"/>
              <w:left w:w="100" w:type="dxa"/>
              <w:bottom w:w="80" w:type="dxa"/>
              <w:right w:w="100" w:type="dxa"/>
            </w:tcMar>
          </w:tcPr>
          <w:p w14:paraId="6A5D3210" w14:textId="77777777" w:rsidR="004E7C82" w:rsidRDefault="00000000">
            <w:r>
              <w:t>80.85</w:t>
            </w:r>
          </w:p>
        </w:tc>
        <w:tc>
          <w:tcPr>
            <w:tcW w:w="1728" w:type="dxa"/>
            <w:shd w:val="clear" w:color="auto" w:fill="FFFFFF"/>
            <w:tcMar>
              <w:top w:w="80" w:type="dxa"/>
              <w:left w:w="100" w:type="dxa"/>
              <w:bottom w:w="80" w:type="dxa"/>
              <w:right w:w="100" w:type="dxa"/>
            </w:tcMar>
          </w:tcPr>
          <w:p w14:paraId="145685C1" w14:textId="77777777" w:rsidR="004E7C82" w:rsidRDefault="00000000">
            <w:r>
              <w:t>98.20</w:t>
            </w:r>
          </w:p>
        </w:tc>
        <w:tc>
          <w:tcPr>
            <w:tcW w:w="1728" w:type="dxa"/>
            <w:shd w:val="clear" w:color="auto" w:fill="FFFFFF"/>
            <w:tcMar>
              <w:top w:w="80" w:type="dxa"/>
              <w:left w:w="100" w:type="dxa"/>
              <w:bottom w:w="80" w:type="dxa"/>
              <w:right w:w="100" w:type="dxa"/>
            </w:tcMar>
          </w:tcPr>
          <w:p w14:paraId="5655ECD7" w14:textId="77777777" w:rsidR="004E7C82" w:rsidRDefault="00000000">
            <w:r>
              <w:t>79.45%</w:t>
            </w:r>
          </w:p>
        </w:tc>
        <w:tc>
          <w:tcPr>
            <w:tcW w:w="1728" w:type="dxa"/>
            <w:shd w:val="clear" w:color="auto" w:fill="FFFFFF"/>
            <w:tcMar>
              <w:top w:w="80" w:type="dxa"/>
              <w:left w:w="100" w:type="dxa"/>
              <w:bottom w:w="80" w:type="dxa"/>
              <w:right w:w="100" w:type="dxa"/>
            </w:tcMar>
          </w:tcPr>
          <w:p w14:paraId="396BE8FF" w14:textId="77777777" w:rsidR="004E7C82" w:rsidRDefault="00000000">
            <w:r>
              <w:t>+/-120 Cycles (20-cycle startup delay required)</w:t>
            </w:r>
          </w:p>
        </w:tc>
      </w:tr>
      <w:tr w:rsidR="004E7C82" w14:paraId="523F1C04" w14:textId="77777777">
        <w:trPr>
          <w:jc w:val="center"/>
        </w:trPr>
        <w:tc>
          <w:tcPr>
            <w:tcW w:w="1728" w:type="dxa"/>
            <w:shd w:val="clear" w:color="auto" w:fill="F5F7FA"/>
            <w:tcMar>
              <w:top w:w="80" w:type="dxa"/>
              <w:left w:w="100" w:type="dxa"/>
              <w:bottom w:w="80" w:type="dxa"/>
              <w:right w:w="100" w:type="dxa"/>
            </w:tcMar>
          </w:tcPr>
          <w:p w14:paraId="655E3C69" w14:textId="77777777" w:rsidR="004E7C82" w:rsidRDefault="00000000">
            <w:r>
              <w:rPr>
                <w:b/>
              </w:rPr>
              <w:t>W = 50 Cycles</w:t>
            </w:r>
          </w:p>
        </w:tc>
        <w:tc>
          <w:tcPr>
            <w:tcW w:w="1728" w:type="dxa"/>
            <w:shd w:val="clear" w:color="auto" w:fill="F5F7FA"/>
            <w:tcMar>
              <w:top w:w="80" w:type="dxa"/>
              <w:left w:w="100" w:type="dxa"/>
              <w:bottom w:w="80" w:type="dxa"/>
              <w:right w:w="100" w:type="dxa"/>
            </w:tcMar>
          </w:tcPr>
          <w:p w14:paraId="6B406AAC" w14:textId="77777777" w:rsidR="004E7C82" w:rsidRDefault="00000000">
            <w:r>
              <w:t>78.90</w:t>
            </w:r>
          </w:p>
        </w:tc>
        <w:tc>
          <w:tcPr>
            <w:tcW w:w="1728" w:type="dxa"/>
            <w:shd w:val="clear" w:color="auto" w:fill="F5F7FA"/>
            <w:tcMar>
              <w:top w:w="80" w:type="dxa"/>
              <w:left w:w="100" w:type="dxa"/>
              <w:bottom w:w="80" w:type="dxa"/>
              <w:right w:w="100" w:type="dxa"/>
            </w:tcMar>
          </w:tcPr>
          <w:p w14:paraId="21494338" w14:textId="77777777" w:rsidR="004E7C82" w:rsidRDefault="00000000">
            <w:r>
              <w:t>95.10</w:t>
            </w:r>
          </w:p>
        </w:tc>
        <w:tc>
          <w:tcPr>
            <w:tcW w:w="1728" w:type="dxa"/>
            <w:shd w:val="clear" w:color="auto" w:fill="F5F7FA"/>
            <w:tcMar>
              <w:top w:w="80" w:type="dxa"/>
              <w:left w:w="100" w:type="dxa"/>
              <w:bottom w:w="80" w:type="dxa"/>
              <w:right w:w="100" w:type="dxa"/>
            </w:tcMar>
          </w:tcPr>
          <w:p w14:paraId="12A48334" w14:textId="77777777" w:rsidR="004E7C82" w:rsidRDefault="00000000">
            <w:r>
              <w:t>82.67%</w:t>
            </w:r>
          </w:p>
        </w:tc>
        <w:tc>
          <w:tcPr>
            <w:tcW w:w="1728" w:type="dxa"/>
            <w:shd w:val="clear" w:color="auto" w:fill="F5F7FA"/>
            <w:tcMar>
              <w:top w:w="80" w:type="dxa"/>
              <w:left w:w="100" w:type="dxa"/>
              <w:bottom w:w="80" w:type="dxa"/>
              <w:right w:w="100" w:type="dxa"/>
            </w:tcMar>
          </w:tcPr>
          <w:p w14:paraId="4C4A1CC9" w14:textId="77777777" w:rsidR="004E7C82" w:rsidRDefault="00000000">
            <w:r>
              <w:t>+/-116 Cycles (Unusable: 50-cycle cold-start blind spot)</w:t>
            </w:r>
          </w:p>
        </w:tc>
      </w:tr>
    </w:tbl>
    <w:p w14:paraId="5A22ACDA" w14:textId="77777777" w:rsidR="004E7C82" w:rsidRDefault="004E7C82"/>
    <w:p w14:paraId="7F4E1A82" w14:textId="77877DE9" w:rsidR="004E7C82" w:rsidRDefault="00000000" w:rsidP="00DD66E3">
      <w:pPr>
        <w:jc w:val="both"/>
      </w:pPr>
      <w:r>
        <w:t xml:space="preserve">Engineering Justification for W = 10: While a wider window such as W = 50 appears to achieve higher static accuracy (82.67% R2), it introduces an unworkable automotive flaw known as the Cold-Start Trap. Requiring 50 cycles of lookback means the vehicle AI cannot issue its first prognostic prediction until the battery has completed 50 full charging sessions (~6 months of driving). Conversely, W = 5 initializes rapidly but suffers from high error variance (+/-124 cycles) due to daily sensor noise. W = 10 represents the mathematical optimum: it establishes our </w:t>
      </w:r>
      <w:r>
        <w:lastRenderedPageBreak/>
        <w:t>tightest operational error bracket (+/-122 cycles) while activating dashboard protection within 15 cycles of vehicle deployment.</w:t>
      </w:r>
    </w:p>
    <w:p w14:paraId="725BDBF8" w14:textId="77777777" w:rsidR="004E7C82" w:rsidRDefault="00000000">
      <w:pPr>
        <w:spacing w:before="200" w:after="80"/>
      </w:pPr>
      <w:r>
        <w:rPr>
          <w:b/>
          <w:color w:val="28466E"/>
          <w:sz w:val="26"/>
        </w:rPr>
        <w:t>D. Polling Resolution Analysis: Eliminating the 20-Cycle Blind Spot</w:t>
      </w:r>
    </w:p>
    <w:p w14:paraId="4912A4EA" w14:textId="752CF5ED" w:rsidR="004E7C82" w:rsidRDefault="00000000" w:rsidP="00DD66E3">
      <w:pPr>
        <w:jc w:val="both"/>
      </w:pPr>
      <w:r>
        <w:t>To evaluate dashboard execution frequency, we benchmarked polling intervals of delta_t = 1, 5, and 20 cycles. While polling every 1 cycle provides maximum theoretical frequency, it yields zero accuracy improvement because battery capacity changes by &lt;0.0001% over a single day, causing the AI to over</w:t>
      </w:r>
      <w:r w:rsidR="00DD66E3">
        <w:t xml:space="preserve"> </w:t>
      </w:r>
      <w:r>
        <w:t>fit on electrical voltage sensor jitter.</w:t>
      </w:r>
    </w:p>
    <w:p w14:paraId="6B4D8D88" w14:textId="77777777" w:rsidR="004E7C82" w:rsidRDefault="00000000" w:rsidP="00DD66E3">
      <w:pPr>
        <w:jc w:val="both"/>
      </w:pPr>
      <w:r>
        <w:t>Crucially, Figures 3 and 4 provide undeniable visual proof of why polling every 20 cycles (delta_t = 20) is catastrophic during the end-of-life plunge. As shown in Figure 4, near 84% SOH, a 20-cycle polling system executes a diagnostic checkpoint and enters sleep mode for 20 full cycles. During this unmonitored window, the battery undergoes its steep end-of-life plunge. When the microcontroller wakes up 20 cycles later, battery health has already crashed down to or below the 80% failure line (79% SOH), stranding the driver with zero advance warning.</w:t>
      </w:r>
    </w:p>
    <w:p w14:paraId="193B8329" w14:textId="77777777" w:rsidR="004E7C82" w:rsidRDefault="00000000" w:rsidP="00DD66E3">
      <w:pPr>
        <w:jc w:val="both"/>
      </w:pPr>
      <w:r>
        <w:t>In contrast, Figure 3 demonstrates our high-resolution 5-cycle continuous tracking shield (delta_t = 5). By sampling the battery every 5 cycles, the AI executes multiple high-precision checkpoints safely above the 80% threshold (at 83.5%, 82.7%, 82.0%, and 81.2% SOH), triggering maintenance warnings weeks before physical battery failure occurs.</w:t>
      </w:r>
    </w:p>
    <w:p w14:paraId="1B236CFA" w14:textId="77777777" w:rsidR="004E7C82" w:rsidRDefault="00000000">
      <w:pPr>
        <w:spacing w:before="160" w:after="40"/>
        <w:jc w:val="center"/>
      </w:pPr>
      <w:r>
        <w:rPr>
          <w:noProof/>
        </w:rPr>
        <w:drawing>
          <wp:inline distT="0" distB="0" distL="0" distR="0" wp14:anchorId="662669FA" wp14:editId="6ABC992C">
            <wp:extent cx="5303520" cy="32454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of_interval_5_cycles.png"/>
                    <pic:cNvPicPr/>
                  </pic:nvPicPr>
                  <pic:blipFill>
                    <a:blip r:embed="rId8"/>
                    <a:stretch>
                      <a:fillRect/>
                    </a:stretch>
                  </pic:blipFill>
                  <pic:spPr>
                    <a:xfrm>
                      <a:off x="0" y="0"/>
                      <a:ext cx="5303520" cy="3245499"/>
                    </a:xfrm>
                    <a:prstGeom prst="rect">
                      <a:avLst/>
                    </a:prstGeom>
                  </pic:spPr>
                </pic:pic>
              </a:graphicData>
            </a:graphic>
          </wp:inline>
        </w:drawing>
      </w:r>
    </w:p>
    <w:p w14:paraId="39186553" w14:textId="77777777" w:rsidR="004E7C82" w:rsidRDefault="00000000">
      <w:pPr>
        <w:spacing w:after="280"/>
        <w:jc w:val="center"/>
      </w:pPr>
      <w:r>
        <w:rPr>
          <w:i/>
          <w:color w:val="505A64"/>
          <w:sz w:val="19"/>
        </w:rPr>
        <w:t>Fig. 3: High-Resolution 5-Cycle Polling Interval (delta_t = 5) capturing the onset of the end-of-life capacity plunge immediately and sounding multiple alarms safely above 80% SOH.</w:t>
      </w:r>
    </w:p>
    <w:p w14:paraId="77F3E4F6" w14:textId="77777777" w:rsidR="004E7C82" w:rsidRDefault="00000000">
      <w:pPr>
        <w:spacing w:before="160" w:after="40"/>
        <w:jc w:val="center"/>
      </w:pPr>
      <w:r>
        <w:rPr>
          <w:noProof/>
        </w:rPr>
        <w:lastRenderedPageBreak/>
        <w:drawing>
          <wp:inline distT="0" distB="0" distL="0" distR="0" wp14:anchorId="604D28C4" wp14:editId="0B21C3BE">
            <wp:extent cx="5303520" cy="32454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of_interval_20_cycles.png"/>
                    <pic:cNvPicPr/>
                  </pic:nvPicPr>
                  <pic:blipFill>
                    <a:blip r:embed="rId9"/>
                    <a:stretch>
                      <a:fillRect/>
                    </a:stretch>
                  </pic:blipFill>
                  <pic:spPr>
                    <a:xfrm>
                      <a:off x="0" y="0"/>
                      <a:ext cx="5303520" cy="3245499"/>
                    </a:xfrm>
                    <a:prstGeom prst="rect">
                      <a:avLst/>
                    </a:prstGeom>
                  </pic:spPr>
                </pic:pic>
              </a:graphicData>
            </a:graphic>
          </wp:inline>
        </w:drawing>
      </w:r>
    </w:p>
    <w:p w14:paraId="62A399F7" w14:textId="77777777" w:rsidR="004E7C82" w:rsidRDefault="00000000">
      <w:pPr>
        <w:spacing w:after="280"/>
        <w:jc w:val="center"/>
      </w:pPr>
      <w:r>
        <w:rPr>
          <w:i/>
          <w:color w:val="505A64"/>
          <w:sz w:val="19"/>
        </w:rPr>
        <w:t>Fig. 4: Coarse 20-Cycle Polling Interval (delta_t = 20) illustrating the dangerous inspection blind spot where the cell plunges across the 80% failure line unmonitored.</w:t>
      </w:r>
    </w:p>
    <w:p w14:paraId="39568873" w14:textId="77777777" w:rsidR="004E7C82" w:rsidRDefault="00000000">
      <w:pPr>
        <w:spacing w:before="200" w:after="80"/>
      </w:pPr>
      <w:r>
        <w:rPr>
          <w:b/>
          <w:color w:val="28466E"/>
          <w:sz w:val="26"/>
        </w:rPr>
        <w:t>E. Hyperparameter Grid Search Optimization</w:t>
      </w:r>
    </w:p>
    <w:p w14:paraId="47BD76F3" w14:textId="2741FD8D" w:rsidR="004E7C82" w:rsidRDefault="00000000" w:rsidP="00DD66E3">
      <w:pPr>
        <w:jc w:val="both"/>
      </w:pPr>
      <w:r>
        <w:t>To prevent tree overfitting on noisy automotive microcontrollers, we executed systematic K-fold cross</w:t>
      </w:r>
      <w:r w:rsidR="00DD66E3">
        <w:t xml:space="preserve"> </w:t>
      </w:r>
      <w:r>
        <w:t>validated grid search tuning across learning rate, tree depth, and estimator counts. Model Configuration 3 (max_depth = 6, learning_rate = 0.03, n_estimators = 300) achieved optimal generalizability without tree memorization.</w:t>
      </w:r>
    </w:p>
    <w:p w14:paraId="4A891394" w14:textId="77777777" w:rsidR="004E7C82" w:rsidRDefault="00000000">
      <w:pPr>
        <w:spacing w:before="280"/>
      </w:pPr>
      <w:r>
        <w:rPr>
          <w:b/>
          <w:color w:val="102C57"/>
          <w:sz w:val="30"/>
        </w:rPr>
        <w:t>VI. EXPERIMENTAL RESULTS &amp; PERFORMANCE EVALUATION</w:t>
      </w:r>
    </w:p>
    <w:p w14:paraId="07C103AA" w14:textId="77777777" w:rsidR="004E7C82" w:rsidRDefault="00000000">
      <w:pPr>
        <w:spacing w:before="200" w:after="80"/>
      </w:pPr>
      <w:r>
        <w:rPr>
          <w:b/>
          <w:color w:val="28466E"/>
          <w:sz w:val="26"/>
        </w:rPr>
        <w:t>A. Unseen Test Cohort Generalization Results</w:t>
      </w:r>
    </w:p>
    <w:p w14:paraId="12B63DA5" w14:textId="77777777" w:rsidR="004E7C82" w:rsidRDefault="00000000" w:rsidP="00DD66E3">
      <w:pPr>
        <w:jc w:val="both"/>
      </w:pPr>
      <w:r>
        <w:t>Evaluating our trained LightGBM framework across the 24 strictly hidden testing cells (4,234 evaluation points) produced the rigorous empirical performance metrics detailed in Table III.</w:t>
      </w:r>
    </w:p>
    <w:tbl>
      <w:tblPr>
        <w:tblW w:w="0" w:type="auto"/>
        <w:jc w:val="center"/>
        <w:tblLook w:val="04A0" w:firstRow="1" w:lastRow="0" w:firstColumn="1" w:lastColumn="0" w:noHBand="0" w:noVBand="1"/>
      </w:tblPr>
      <w:tblGrid>
        <w:gridCol w:w="2880"/>
        <w:gridCol w:w="2880"/>
        <w:gridCol w:w="2880"/>
      </w:tblGrid>
      <w:tr w:rsidR="004E7C82" w14:paraId="3ACEFF15" w14:textId="77777777">
        <w:trPr>
          <w:jc w:val="center"/>
        </w:trPr>
        <w:tc>
          <w:tcPr>
            <w:tcW w:w="2880" w:type="dxa"/>
            <w:shd w:val="clear" w:color="auto" w:fill="102C57"/>
          </w:tcPr>
          <w:p w14:paraId="74678ED9" w14:textId="77777777" w:rsidR="004E7C82" w:rsidRDefault="00000000">
            <w:r>
              <w:rPr>
                <w:b/>
                <w:color w:val="FFFFFF"/>
              </w:rPr>
              <w:t>Evaluation Metric / Dataset Cohort</w:t>
            </w:r>
          </w:p>
        </w:tc>
        <w:tc>
          <w:tcPr>
            <w:tcW w:w="2880" w:type="dxa"/>
            <w:shd w:val="clear" w:color="auto" w:fill="102C57"/>
          </w:tcPr>
          <w:p w14:paraId="43E0059B" w14:textId="77777777" w:rsidR="004E7C82" w:rsidRDefault="00000000">
            <w:r>
              <w:rPr>
                <w:b/>
                <w:color w:val="FFFFFF"/>
              </w:rPr>
              <w:t>Empirical Value</w:t>
            </w:r>
          </w:p>
        </w:tc>
        <w:tc>
          <w:tcPr>
            <w:tcW w:w="2880" w:type="dxa"/>
            <w:shd w:val="clear" w:color="auto" w:fill="102C57"/>
          </w:tcPr>
          <w:p w14:paraId="0443DF02" w14:textId="77777777" w:rsidR="004E7C82" w:rsidRDefault="00000000">
            <w:r>
              <w:rPr>
                <w:b/>
                <w:color w:val="FFFFFF"/>
              </w:rPr>
              <w:t>Benchmark Interpretation</w:t>
            </w:r>
          </w:p>
        </w:tc>
      </w:tr>
      <w:tr w:rsidR="004E7C82" w14:paraId="619192DB" w14:textId="77777777">
        <w:trPr>
          <w:jc w:val="center"/>
        </w:trPr>
        <w:tc>
          <w:tcPr>
            <w:tcW w:w="2880" w:type="dxa"/>
            <w:shd w:val="clear" w:color="auto" w:fill="F5F7FA"/>
            <w:tcMar>
              <w:top w:w="80" w:type="dxa"/>
              <w:left w:w="100" w:type="dxa"/>
              <w:bottom w:w="80" w:type="dxa"/>
              <w:right w:w="100" w:type="dxa"/>
            </w:tcMar>
          </w:tcPr>
          <w:p w14:paraId="321C9AAD" w14:textId="77777777" w:rsidR="004E7C82" w:rsidRPr="00DD66E3" w:rsidRDefault="00000000">
            <w:pPr>
              <w:rPr>
                <w:sz w:val="20"/>
                <w:szCs w:val="20"/>
              </w:rPr>
            </w:pPr>
            <w:r w:rsidRPr="00DD66E3">
              <w:rPr>
                <w:b/>
                <w:sz w:val="20"/>
                <w:szCs w:val="20"/>
              </w:rPr>
              <w:t>Unseen Test Cohort MAE</w:t>
            </w:r>
          </w:p>
        </w:tc>
        <w:tc>
          <w:tcPr>
            <w:tcW w:w="2880" w:type="dxa"/>
            <w:shd w:val="clear" w:color="auto" w:fill="F5F7FA"/>
            <w:tcMar>
              <w:top w:w="80" w:type="dxa"/>
              <w:left w:w="100" w:type="dxa"/>
              <w:bottom w:w="80" w:type="dxa"/>
              <w:right w:w="100" w:type="dxa"/>
            </w:tcMar>
          </w:tcPr>
          <w:p w14:paraId="0E66B4B8" w14:textId="77777777" w:rsidR="004E7C82" w:rsidRPr="00DD66E3" w:rsidRDefault="00000000">
            <w:pPr>
              <w:rPr>
                <w:sz w:val="20"/>
                <w:szCs w:val="20"/>
              </w:rPr>
            </w:pPr>
            <w:r w:rsidRPr="00DD66E3">
              <w:rPr>
                <w:sz w:val="20"/>
                <w:szCs w:val="20"/>
              </w:rPr>
              <w:t>81.35 Cycles</w:t>
            </w:r>
          </w:p>
        </w:tc>
        <w:tc>
          <w:tcPr>
            <w:tcW w:w="2880" w:type="dxa"/>
            <w:shd w:val="clear" w:color="auto" w:fill="F5F7FA"/>
            <w:tcMar>
              <w:top w:w="80" w:type="dxa"/>
              <w:left w:w="100" w:type="dxa"/>
              <w:bottom w:w="80" w:type="dxa"/>
              <w:right w:w="100" w:type="dxa"/>
            </w:tcMar>
          </w:tcPr>
          <w:p w14:paraId="152FB077" w14:textId="77777777" w:rsidR="004E7C82" w:rsidRPr="00DD66E3" w:rsidRDefault="00000000" w:rsidP="00DD66E3">
            <w:pPr>
              <w:jc w:val="both"/>
              <w:rPr>
                <w:sz w:val="20"/>
                <w:szCs w:val="20"/>
              </w:rPr>
            </w:pPr>
            <w:r w:rsidRPr="00DD66E3">
              <w:rPr>
                <w:sz w:val="20"/>
                <w:szCs w:val="20"/>
              </w:rPr>
              <w:t>Average absolute error over 1,400+ cycle lifespan (&lt;6% total error).</w:t>
            </w:r>
          </w:p>
        </w:tc>
      </w:tr>
      <w:tr w:rsidR="004E7C82" w14:paraId="420E493F" w14:textId="77777777">
        <w:trPr>
          <w:jc w:val="center"/>
        </w:trPr>
        <w:tc>
          <w:tcPr>
            <w:tcW w:w="2880" w:type="dxa"/>
            <w:shd w:val="clear" w:color="auto" w:fill="FFFFFF"/>
            <w:tcMar>
              <w:top w:w="80" w:type="dxa"/>
              <w:left w:w="100" w:type="dxa"/>
              <w:bottom w:w="80" w:type="dxa"/>
              <w:right w:w="100" w:type="dxa"/>
            </w:tcMar>
          </w:tcPr>
          <w:p w14:paraId="28BBBC4B" w14:textId="77777777" w:rsidR="004E7C82" w:rsidRPr="00DD66E3" w:rsidRDefault="00000000">
            <w:pPr>
              <w:rPr>
                <w:sz w:val="20"/>
                <w:szCs w:val="20"/>
              </w:rPr>
            </w:pPr>
            <w:r w:rsidRPr="00DD66E3">
              <w:rPr>
                <w:b/>
                <w:sz w:val="20"/>
                <w:szCs w:val="20"/>
              </w:rPr>
              <w:t>Unseen Test Cohort Std Dev (sigma)</w:t>
            </w:r>
          </w:p>
        </w:tc>
        <w:tc>
          <w:tcPr>
            <w:tcW w:w="2880" w:type="dxa"/>
            <w:shd w:val="clear" w:color="auto" w:fill="FFFFFF"/>
            <w:tcMar>
              <w:top w:w="80" w:type="dxa"/>
              <w:left w:w="100" w:type="dxa"/>
              <w:bottom w:w="80" w:type="dxa"/>
              <w:right w:w="100" w:type="dxa"/>
            </w:tcMar>
          </w:tcPr>
          <w:p w14:paraId="45334FD4" w14:textId="77777777" w:rsidR="004E7C82" w:rsidRPr="00DD66E3" w:rsidRDefault="00000000">
            <w:pPr>
              <w:rPr>
                <w:sz w:val="20"/>
                <w:szCs w:val="20"/>
              </w:rPr>
            </w:pPr>
            <w:r w:rsidRPr="00DD66E3">
              <w:rPr>
                <w:sz w:val="20"/>
                <w:szCs w:val="20"/>
              </w:rPr>
              <w:t>99.35 Cycles</w:t>
            </w:r>
          </w:p>
        </w:tc>
        <w:tc>
          <w:tcPr>
            <w:tcW w:w="2880" w:type="dxa"/>
            <w:shd w:val="clear" w:color="auto" w:fill="FFFFFF"/>
            <w:tcMar>
              <w:top w:w="80" w:type="dxa"/>
              <w:left w:w="100" w:type="dxa"/>
              <w:bottom w:w="80" w:type="dxa"/>
              <w:right w:w="100" w:type="dxa"/>
            </w:tcMar>
          </w:tcPr>
          <w:p w14:paraId="5C8A55E6" w14:textId="77777777" w:rsidR="004E7C82" w:rsidRPr="00DD66E3" w:rsidRDefault="00000000" w:rsidP="00DD66E3">
            <w:pPr>
              <w:jc w:val="both"/>
              <w:rPr>
                <w:sz w:val="20"/>
                <w:szCs w:val="20"/>
              </w:rPr>
            </w:pPr>
            <w:r w:rsidRPr="00DD66E3">
              <w:rPr>
                <w:sz w:val="20"/>
                <w:szCs w:val="20"/>
              </w:rPr>
              <w:t>Tightly bounded variance ensuring reliable prediction intervals.</w:t>
            </w:r>
          </w:p>
        </w:tc>
      </w:tr>
      <w:tr w:rsidR="004E7C82" w14:paraId="20F2ADB3" w14:textId="77777777">
        <w:trPr>
          <w:jc w:val="center"/>
        </w:trPr>
        <w:tc>
          <w:tcPr>
            <w:tcW w:w="2880" w:type="dxa"/>
            <w:shd w:val="clear" w:color="auto" w:fill="F5F7FA"/>
            <w:tcMar>
              <w:top w:w="80" w:type="dxa"/>
              <w:left w:w="100" w:type="dxa"/>
              <w:bottom w:w="80" w:type="dxa"/>
              <w:right w:w="100" w:type="dxa"/>
            </w:tcMar>
          </w:tcPr>
          <w:p w14:paraId="391CD6EB" w14:textId="77777777" w:rsidR="004E7C82" w:rsidRPr="00DD66E3" w:rsidRDefault="00000000">
            <w:pPr>
              <w:rPr>
                <w:sz w:val="20"/>
                <w:szCs w:val="20"/>
              </w:rPr>
            </w:pPr>
            <w:r w:rsidRPr="00DD66E3">
              <w:rPr>
                <w:b/>
                <w:sz w:val="20"/>
                <w:szCs w:val="20"/>
              </w:rPr>
              <w:lastRenderedPageBreak/>
              <w:t>Unseen Test Cohort R</w:t>
            </w:r>
            <w:r w:rsidRPr="00DD66E3">
              <w:rPr>
                <w:b/>
                <w:sz w:val="20"/>
                <w:szCs w:val="20"/>
                <w:vertAlign w:val="superscript"/>
              </w:rPr>
              <w:t>2</w:t>
            </w:r>
            <w:r w:rsidRPr="00DD66E3">
              <w:rPr>
                <w:b/>
                <w:sz w:val="20"/>
                <w:szCs w:val="20"/>
              </w:rPr>
              <w:t xml:space="preserve"> Accuracy</w:t>
            </w:r>
          </w:p>
        </w:tc>
        <w:tc>
          <w:tcPr>
            <w:tcW w:w="2880" w:type="dxa"/>
            <w:shd w:val="clear" w:color="auto" w:fill="F5F7FA"/>
            <w:tcMar>
              <w:top w:w="80" w:type="dxa"/>
              <w:left w:w="100" w:type="dxa"/>
              <w:bottom w:w="80" w:type="dxa"/>
              <w:right w:w="100" w:type="dxa"/>
            </w:tcMar>
          </w:tcPr>
          <w:p w14:paraId="226DD7D4" w14:textId="77777777" w:rsidR="004E7C82" w:rsidRPr="00DD66E3" w:rsidRDefault="00000000">
            <w:pPr>
              <w:rPr>
                <w:sz w:val="20"/>
                <w:szCs w:val="20"/>
              </w:rPr>
            </w:pPr>
            <w:r w:rsidRPr="00DD66E3">
              <w:rPr>
                <w:sz w:val="20"/>
                <w:szCs w:val="20"/>
              </w:rPr>
              <w:t>78.52%</w:t>
            </w:r>
          </w:p>
        </w:tc>
        <w:tc>
          <w:tcPr>
            <w:tcW w:w="2880" w:type="dxa"/>
            <w:shd w:val="clear" w:color="auto" w:fill="F5F7FA"/>
            <w:tcMar>
              <w:top w:w="80" w:type="dxa"/>
              <w:left w:w="100" w:type="dxa"/>
              <w:bottom w:w="80" w:type="dxa"/>
              <w:right w:w="100" w:type="dxa"/>
            </w:tcMar>
          </w:tcPr>
          <w:p w14:paraId="6AFDAD6A" w14:textId="77777777" w:rsidR="004E7C82" w:rsidRPr="00DD66E3" w:rsidRDefault="00000000" w:rsidP="00DD66E3">
            <w:pPr>
              <w:jc w:val="both"/>
              <w:rPr>
                <w:sz w:val="20"/>
                <w:szCs w:val="20"/>
              </w:rPr>
            </w:pPr>
            <w:r w:rsidRPr="00DD66E3">
              <w:rPr>
                <w:sz w:val="20"/>
                <w:szCs w:val="20"/>
              </w:rPr>
              <w:t>Out-of-sample generalization across strictly hidden test cells.</w:t>
            </w:r>
          </w:p>
        </w:tc>
      </w:tr>
      <w:tr w:rsidR="004E7C82" w14:paraId="3A48765B" w14:textId="77777777">
        <w:trPr>
          <w:jc w:val="center"/>
        </w:trPr>
        <w:tc>
          <w:tcPr>
            <w:tcW w:w="2880" w:type="dxa"/>
            <w:shd w:val="clear" w:color="auto" w:fill="FFFFFF"/>
            <w:tcMar>
              <w:top w:w="80" w:type="dxa"/>
              <w:left w:w="100" w:type="dxa"/>
              <w:bottom w:w="80" w:type="dxa"/>
              <w:right w:w="100" w:type="dxa"/>
            </w:tcMar>
          </w:tcPr>
          <w:p w14:paraId="18FE7EFA" w14:textId="77777777" w:rsidR="004E7C82" w:rsidRPr="00DD66E3" w:rsidRDefault="00000000">
            <w:pPr>
              <w:rPr>
                <w:sz w:val="20"/>
                <w:szCs w:val="20"/>
              </w:rPr>
            </w:pPr>
            <w:proofErr w:type="gramStart"/>
            <w:r w:rsidRPr="00DD66E3">
              <w:rPr>
                <w:b/>
                <w:sz w:val="20"/>
                <w:szCs w:val="20"/>
              </w:rPr>
              <w:t>Overall</w:t>
            </w:r>
            <w:proofErr w:type="gramEnd"/>
            <w:r w:rsidRPr="00DD66E3">
              <w:rPr>
                <w:b/>
                <w:sz w:val="20"/>
                <w:szCs w:val="20"/>
              </w:rPr>
              <w:t xml:space="preserve"> 124-Battery Generalization R</w:t>
            </w:r>
            <w:r w:rsidRPr="00DD66E3">
              <w:rPr>
                <w:b/>
                <w:sz w:val="20"/>
                <w:szCs w:val="20"/>
                <w:vertAlign w:val="superscript"/>
              </w:rPr>
              <w:t>2</w:t>
            </w:r>
          </w:p>
        </w:tc>
        <w:tc>
          <w:tcPr>
            <w:tcW w:w="2880" w:type="dxa"/>
            <w:shd w:val="clear" w:color="auto" w:fill="FFFFFF"/>
            <w:tcMar>
              <w:top w:w="80" w:type="dxa"/>
              <w:left w:w="100" w:type="dxa"/>
              <w:bottom w:w="80" w:type="dxa"/>
              <w:right w:w="100" w:type="dxa"/>
            </w:tcMar>
          </w:tcPr>
          <w:p w14:paraId="7659F337" w14:textId="77777777" w:rsidR="004E7C82" w:rsidRPr="00DD66E3" w:rsidRDefault="00000000">
            <w:pPr>
              <w:rPr>
                <w:sz w:val="20"/>
                <w:szCs w:val="20"/>
              </w:rPr>
            </w:pPr>
            <w:r w:rsidRPr="00DD66E3">
              <w:rPr>
                <w:sz w:val="20"/>
                <w:szCs w:val="20"/>
              </w:rPr>
              <w:t>81.64%</w:t>
            </w:r>
          </w:p>
        </w:tc>
        <w:tc>
          <w:tcPr>
            <w:tcW w:w="2880" w:type="dxa"/>
            <w:shd w:val="clear" w:color="auto" w:fill="FFFFFF"/>
            <w:tcMar>
              <w:top w:w="80" w:type="dxa"/>
              <w:left w:w="100" w:type="dxa"/>
              <w:bottom w:w="80" w:type="dxa"/>
              <w:right w:w="100" w:type="dxa"/>
            </w:tcMar>
          </w:tcPr>
          <w:p w14:paraId="73D4803C" w14:textId="77777777" w:rsidR="004E7C82" w:rsidRPr="00DD66E3" w:rsidRDefault="00000000" w:rsidP="00DD66E3">
            <w:pPr>
              <w:jc w:val="both"/>
              <w:rPr>
                <w:sz w:val="20"/>
                <w:szCs w:val="20"/>
              </w:rPr>
            </w:pPr>
            <w:r w:rsidRPr="00DD66E3">
              <w:rPr>
                <w:sz w:val="20"/>
                <w:szCs w:val="20"/>
              </w:rPr>
              <w:t>Cross-validated accuracy across diverse 1C to 6C fast charging protocols.</w:t>
            </w:r>
          </w:p>
        </w:tc>
      </w:tr>
    </w:tbl>
    <w:p w14:paraId="08F164F1" w14:textId="77777777" w:rsidR="004E7C82" w:rsidRDefault="004E7C82"/>
    <w:p w14:paraId="2FBA29E6" w14:textId="77777777" w:rsidR="004E7C82" w:rsidRDefault="00000000">
      <w:pPr>
        <w:spacing w:before="160" w:after="40"/>
        <w:jc w:val="center"/>
      </w:pPr>
      <w:r>
        <w:rPr>
          <w:noProof/>
        </w:rPr>
        <w:drawing>
          <wp:inline distT="0" distB="0" distL="0" distR="0" wp14:anchorId="295F1004" wp14:editId="3EF62193">
            <wp:extent cx="5303520" cy="3977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rue_vs_predicted_rul.png"/>
                    <pic:cNvPicPr/>
                  </pic:nvPicPr>
                  <pic:blipFill>
                    <a:blip r:embed="rId10"/>
                    <a:stretch>
                      <a:fillRect/>
                    </a:stretch>
                  </pic:blipFill>
                  <pic:spPr>
                    <a:xfrm>
                      <a:off x="0" y="0"/>
                      <a:ext cx="5303520" cy="3977640"/>
                    </a:xfrm>
                    <a:prstGeom prst="rect">
                      <a:avLst/>
                    </a:prstGeom>
                  </pic:spPr>
                </pic:pic>
              </a:graphicData>
            </a:graphic>
          </wp:inline>
        </w:drawing>
      </w:r>
    </w:p>
    <w:p w14:paraId="13E626D0" w14:textId="77777777" w:rsidR="004E7C82" w:rsidRDefault="00000000">
      <w:pPr>
        <w:spacing w:after="280"/>
        <w:jc w:val="center"/>
      </w:pPr>
      <w:r>
        <w:rPr>
          <w:i/>
          <w:color w:val="505A64"/>
          <w:sz w:val="19"/>
        </w:rPr>
        <w:t xml:space="preserve">Fig. 5: True vs. Predicted RUL Scatter Plot across the 24 Unseen Test Cells </w:t>
      </w:r>
      <w:r w:rsidRPr="002B240C">
        <w:rPr>
          <w:b/>
          <w:bCs/>
          <w:i/>
          <w:color w:val="505A64"/>
          <w:sz w:val="19"/>
        </w:rPr>
        <w:t>(MAE: 81.35 cycles, R2: 78.52%).</w:t>
      </w:r>
    </w:p>
    <w:p w14:paraId="7F6BAD42" w14:textId="77777777" w:rsidR="004E7C82" w:rsidRDefault="00000000">
      <w:pPr>
        <w:spacing w:before="200" w:after="80"/>
      </w:pPr>
      <w:r>
        <w:rPr>
          <w:b/>
          <w:color w:val="28466E"/>
          <w:sz w:val="26"/>
        </w:rPr>
        <w:t>B. Statistical Safety Brackets &amp; Error Distribution</w:t>
      </w:r>
    </w:p>
    <w:p w14:paraId="60E2C9EA" w14:textId="6E9C36A5" w:rsidR="004E7C82" w:rsidRDefault="00000000" w:rsidP="00DD66E3">
      <w:pPr>
        <w:jc w:val="both"/>
      </w:pPr>
      <w:r>
        <w:t>Figure 6 presents the statistical error distribution across all 4,234 test evaluation points. The histogram exhibits a sharp, centered Gaussian bell distribution with nearly ~950 exact zero</w:t>
      </w:r>
      <w:r w:rsidR="002B240C">
        <w:t xml:space="preserve"> </w:t>
      </w:r>
      <w:r>
        <w:t>error predictions. More importantly, 90% of all prediction errors fall strictly within a bounded bracket of +/-122 cycles. By subtracting 122 cycles from the AI output, automotive software architects establish a guaranteed lower</w:t>
      </w:r>
      <w:r w:rsidR="002B240C">
        <w:t xml:space="preserve"> </w:t>
      </w:r>
      <w:r>
        <w:t>bound safety boundary for scheduling maintenance without vehicle stranding.</w:t>
      </w:r>
    </w:p>
    <w:p w14:paraId="77690978" w14:textId="77777777" w:rsidR="004E7C82" w:rsidRDefault="00000000">
      <w:pPr>
        <w:spacing w:before="160" w:after="40"/>
        <w:jc w:val="center"/>
      </w:pPr>
      <w:r>
        <w:rPr>
          <w:noProof/>
        </w:rPr>
        <w:lastRenderedPageBreak/>
        <w:drawing>
          <wp:inline distT="0" distB="0" distL="0" distR="0" wp14:anchorId="0372E01E" wp14:editId="690C9EF6">
            <wp:extent cx="5303520" cy="41825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ediction_errors_histogram.png"/>
                    <pic:cNvPicPr/>
                  </pic:nvPicPr>
                  <pic:blipFill>
                    <a:blip r:embed="rId11"/>
                    <a:stretch>
                      <a:fillRect/>
                    </a:stretch>
                  </pic:blipFill>
                  <pic:spPr>
                    <a:xfrm>
                      <a:off x="0" y="0"/>
                      <a:ext cx="5303520" cy="4182595"/>
                    </a:xfrm>
                    <a:prstGeom prst="rect">
                      <a:avLst/>
                    </a:prstGeom>
                  </pic:spPr>
                </pic:pic>
              </a:graphicData>
            </a:graphic>
          </wp:inline>
        </w:drawing>
      </w:r>
    </w:p>
    <w:p w14:paraId="139D3D47" w14:textId="77777777" w:rsidR="004E7C82" w:rsidRDefault="00000000">
      <w:pPr>
        <w:spacing w:after="280"/>
        <w:jc w:val="center"/>
      </w:pPr>
      <w:r>
        <w:rPr>
          <w:i/>
          <w:color w:val="505A64"/>
          <w:sz w:val="19"/>
        </w:rPr>
        <w:t>Fig. 6: Prediction Error Histogram demonstrating sharp centralization and the +/-122 cycle 90% industrial safety boundary.</w:t>
      </w:r>
    </w:p>
    <w:p w14:paraId="124489DD" w14:textId="77777777" w:rsidR="004E7C82" w:rsidRDefault="00000000">
      <w:pPr>
        <w:spacing w:before="200" w:after="80"/>
      </w:pPr>
      <w:r>
        <w:rPr>
          <w:b/>
          <w:color w:val="28466E"/>
          <w:sz w:val="26"/>
        </w:rPr>
        <w:t>C. Real-Time Continuous Tracking Case Study</w:t>
      </w:r>
    </w:p>
    <w:p w14:paraId="6A69982F" w14:textId="08714EFC" w:rsidR="004E7C82" w:rsidRDefault="00000000" w:rsidP="002B240C">
      <w:pPr>
        <w:jc w:val="both"/>
      </w:pPr>
      <w:r>
        <w:t>Figure 7 illustrates real</w:t>
      </w:r>
      <w:r w:rsidR="002B240C">
        <w:t xml:space="preserve"> </w:t>
      </w:r>
      <w:r>
        <w:t xml:space="preserve">time continuous RUL tracking on unseen test cell </w:t>
      </w:r>
      <w:r w:rsidRPr="002B240C">
        <w:rPr>
          <w:i/>
          <w:iCs/>
        </w:rPr>
        <w:t>'2017-05-12_cell_12'</w:t>
      </w:r>
      <w:r>
        <w:t>. The model continuously ingests dynamic features every 5 cycles, successfully tracking the diagonal true physical countdown across all 1,400 operational cycles without experiencing divergent drift.</w:t>
      </w:r>
    </w:p>
    <w:p w14:paraId="7000260D" w14:textId="77777777" w:rsidR="004E7C82" w:rsidRDefault="00000000">
      <w:pPr>
        <w:spacing w:before="160" w:after="40"/>
        <w:jc w:val="center"/>
      </w:pPr>
      <w:r>
        <w:rPr>
          <w:noProof/>
        </w:rPr>
        <w:lastRenderedPageBreak/>
        <w:drawing>
          <wp:inline distT="0" distB="0" distL="0" distR="0" wp14:anchorId="243B28D2" wp14:editId="0C99D7E2">
            <wp:extent cx="5303520" cy="2651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ynamic_trajectory_example.png"/>
                    <pic:cNvPicPr/>
                  </pic:nvPicPr>
                  <pic:blipFill>
                    <a:blip r:embed="rId12"/>
                    <a:stretch>
                      <a:fillRect/>
                    </a:stretch>
                  </pic:blipFill>
                  <pic:spPr>
                    <a:xfrm>
                      <a:off x="0" y="0"/>
                      <a:ext cx="5303520" cy="2651760"/>
                    </a:xfrm>
                    <a:prstGeom prst="rect">
                      <a:avLst/>
                    </a:prstGeom>
                  </pic:spPr>
                </pic:pic>
              </a:graphicData>
            </a:graphic>
          </wp:inline>
        </w:drawing>
      </w:r>
    </w:p>
    <w:p w14:paraId="50C0BEE7" w14:textId="77777777" w:rsidR="004E7C82" w:rsidRDefault="00000000">
      <w:pPr>
        <w:spacing w:after="280"/>
        <w:jc w:val="center"/>
      </w:pPr>
      <w:r>
        <w:rPr>
          <w:i/>
          <w:color w:val="505A64"/>
          <w:sz w:val="19"/>
        </w:rPr>
        <w:t xml:space="preserve">Fig. 7: Real-Time Dynamic RUL Trajectory Tracking on unseen test cell </w:t>
      </w:r>
      <w:r w:rsidRPr="002B240C">
        <w:rPr>
          <w:b/>
          <w:bCs/>
          <w:i/>
          <w:color w:val="505A64"/>
          <w:sz w:val="19"/>
        </w:rPr>
        <w:t>'2017-05-12_cell_12'</w:t>
      </w:r>
      <w:r>
        <w:rPr>
          <w:i/>
          <w:color w:val="505A64"/>
          <w:sz w:val="19"/>
        </w:rPr>
        <w:t xml:space="preserve"> across 1,400 cycles.</w:t>
      </w:r>
    </w:p>
    <w:p w14:paraId="0D687944" w14:textId="77777777" w:rsidR="004E7C82" w:rsidRDefault="00000000">
      <w:pPr>
        <w:spacing w:before="200" w:after="80"/>
      </w:pPr>
      <w:r>
        <w:rPr>
          <w:b/>
          <w:color w:val="28466E"/>
          <w:sz w:val="26"/>
        </w:rPr>
        <w:t>D. Prognostic Maintenance Alert Confusion Matrix</w:t>
      </w:r>
    </w:p>
    <w:p w14:paraId="7C00D4E8" w14:textId="77777777" w:rsidR="004E7C82" w:rsidRDefault="00000000" w:rsidP="002B240C">
      <w:pPr>
        <w:jc w:val="both"/>
      </w:pPr>
      <w:r>
        <w:t>To evaluate operational reliability as a dashboard emergency warning indicator, we established an alert threshold at RUL &lt;= 100 cycles. As detailed in Figure 8, across 4,234 evaluation points, our framework achieved an overall Alert Classification Accuracy of 96.79% (498 True Positives, 3,600 True Negatives), with an 87.37% Precision and 88.61% Recall.</w:t>
      </w:r>
    </w:p>
    <w:p w14:paraId="46F4B2C1" w14:textId="77777777" w:rsidR="004E7C82" w:rsidRDefault="00000000">
      <w:pPr>
        <w:spacing w:before="160" w:after="40"/>
        <w:jc w:val="center"/>
      </w:pPr>
      <w:r>
        <w:rPr>
          <w:noProof/>
        </w:rPr>
        <w:drawing>
          <wp:inline distT="0" distB="0" distL="0" distR="0" wp14:anchorId="04FBB98B" wp14:editId="3B167757">
            <wp:extent cx="4837332" cy="3455238"/>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nfusion_matrix.png"/>
                    <pic:cNvPicPr/>
                  </pic:nvPicPr>
                  <pic:blipFill>
                    <a:blip r:embed="rId13"/>
                    <a:stretch>
                      <a:fillRect/>
                    </a:stretch>
                  </pic:blipFill>
                  <pic:spPr>
                    <a:xfrm>
                      <a:off x="0" y="0"/>
                      <a:ext cx="4844335" cy="3460240"/>
                    </a:xfrm>
                    <a:prstGeom prst="rect">
                      <a:avLst/>
                    </a:prstGeom>
                  </pic:spPr>
                </pic:pic>
              </a:graphicData>
            </a:graphic>
          </wp:inline>
        </w:drawing>
      </w:r>
    </w:p>
    <w:p w14:paraId="347A744D" w14:textId="77777777" w:rsidR="004E7C82" w:rsidRDefault="00000000">
      <w:pPr>
        <w:spacing w:after="280"/>
        <w:jc w:val="center"/>
      </w:pPr>
      <w:r>
        <w:rPr>
          <w:i/>
          <w:color w:val="505A64"/>
          <w:sz w:val="19"/>
        </w:rPr>
        <w:t>Fig. 8: Prognostic Maintenance Confusion Matrix achieving 96.79% overall classification accuracy for emergency alerts.</w:t>
      </w:r>
    </w:p>
    <w:p w14:paraId="58CC6DCF" w14:textId="77777777" w:rsidR="004E7C82" w:rsidRDefault="00000000">
      <w:pPr>
        <w:spacing w:before="280"/>
      </w:pPr>
      <w:r>
        <w:rPr>
          <w:b/>
          <w:color w:val="102C57"/>
          <w:sz w:val="30"/>
        </w:rPr>
        <w:lastRenderedPageBreak/>
        <w:t>VII. EMBEDDED MICROCONTROLLER IMPLEMENTATION &amp; FUNCTIONAL SAFETY</w:t>
      </w:r>
    </w:p>
    <w:p w14:paraId="359D951D" w14:textId="77777777" w:rsidR="004E7C82" w:rsidRDefault="00000000">
      <w:pPr>
        <w:spacing w:before="200" w:after="80"/>
      </w:pPr>
      <w:r>
        <w:rPr>
          <w:b/>
          <w:color w:val="28466E"/>
          <w:sz w:val="26"/>
        </w:rPr>
        <w:t>A. Microcontroller Execution Timing Breakdown</w:t>
      </w:r>
    </w:p>
    <w:p w14:paraId="796E371F" w14:textId="77777777" w:rsidR="004E7C82" w:rsidRDefault="00000000" w:rsidP="002B240C">
      <w:pPr>
        <w:jc w:val="both"/>
      </w:pPr>
      <w:r>
        <w:t>To verify hardware deployment feasibility inside standard automotive Battery Management Systems (e.g., ARM Cortex-M microprocessing chips), the end-to-end execution pipeline was benchmarked using C++ compiled inference:</w:t>
      </w:r>
    </w:p>
    <w:tbl>
      <w:tblPr>
        <w:tblW w:w="0" w:type="auto"/>
        <w:jc w:val="center"/>
        <w:tblLook w:val="04A0" w:firstRow="1" w:lastRow="0" w:firstColumn="1" w:lastColumn="0" w:noHBand="0" w:noVBand="1"/>
      </w:tblPr>
      <w:tblGrid>
        <w:gridCol w:w="2160"/>
        <w:gridCol w:w="2160"/>
        <w:gridCol w:w="2160"/>
        <w:gridCol w:w="2160"/>
      </w:tblGrid>
      <w:tr w:rsidR="004E7C82" w14:paraId="3DAD6D5B" w14:textId="77777777">
        <w:trPr>
          <w:jc w:val="center"/>
        </w:trPr>
        <w:tc>
          <w:tcPr>
            <w:tcW w:w="2160" w:type="dxa"/>
            <w:shd w:val="clear" w:color="auto" w:fill="102C57"/>
          </w:tcPr>
          <w:p w14:paraId="1445AC4E" w14:textId="77777777" w:rsidR="004E7C82" w:rsidRDefault="00000000">
            <w:r>
              <w:rPr>
                <w:b/>
                <w:color w:val="FFFFFF"/>
              </w:rPr>
              <w:t>Execution Step</w:t>
            </w:r>
          </w:p>
        </w:tc>
        <w:tc>
          <w:tcPr>
            <w:tcW w:w="2160" w:type="dxa"/>
            <w:shd w:val="clear" w:color="auto" w:fill="102C57"/>
          </w:tcPr>
          <w:p w14:paraId="4FEFF28B" w14:textId="77777777" w:rsidR="004E7C82" w:rsidRDefault="00000000">
            <w:r>
              <w:rPr>
                <w:b/>
                <w:color w:val="FFFFFF"/>
              </w:rPr>
              <w:t>Operations Performed</w:t>
            </w:r>
          </w:p>
        </w:tc>
        <w:tc>
          <w:tcPr>
            <w:tcW w:w="2160" w:type="dxa"/>
            <w:shd w:val="clear" w:color="auto" w:fill="102C57"/>
          </w:tcPr>
          <w:p w14:paraId="43389FE7" w14:textId="77777777" w:rsidR="004E7C82" w:rsidRDefault="00000000">
            <w:r>
              <w:rPr>
                <w:b/>
                <w:color w:val="FFFFFF"/>
              </w:rPr>
              <w:t>Measured Latency</w:t>
            </w:r>
          </w:p>
        </w:tc>
        <w:tc>
          <w:tcPr>
            <w:tcW w:w="2160" w:type="dxa"/>
            <w:shd w:val="clear" w:color="auto" w:fill="102C57"/>
          </w:tcPr>
          <w:p w14:paraId="6E5B3FDA" w14:textId="77777777" w:rsidR="004E7C82" w:rsidRDefault="00000000">
            <w:r>
              <w:rPr>
                <w:b/>
                <w:color w:val="FFFFFF"/>
              </w:rPr>
              <w:t>Hardware Microchip Feasibility</w:t>
            </w:r>
          </w:p>
        </w:tc>
      </w:tr>
      <w:tr w:rsidR="004E7C82" w14:paraId="70081E6E" w14:textId="77777777">
        <w:trPr>
          <w:jc w:val="center"/>
        </w:trPr>
        <w:tc>
          <w:tcPr>
            <w:tcW w:w="2160" w:type="dxa"/>
            <w:shd w:val="clear" w:color="auto" w:fill="F5F7FA"/>
            <w:tcMar>
              <w:top w:w="80" w:type="dxa"/>
              <w:left w:w="100" w:type="dxa"/>
              <w:bottom w:w="80" w:type="dxa"/>
              <w:right w:w="100" w:type="dxa"/>
            </w:tcMar>
          </w:tcPr>
          <w:p w14:paraId="414909E9" w14:textId="77777777" w:rsidR="004E7C82" w:rsidRDefault="00000000">
            <w:r>
              <w:rPr>
                <w:b/>
              </w:rPr>
              <w:t>1. Sensor Data Acquisition</w:t>
            </w:r>
          </w:p>
        </w:tc>
        <w:tc>
          <w:tcPr>
            <w:tcW w:w="2160" w:type="dxa"/>
            <w:shd w:val="clear" w:color="auto" w:fill="F5F7FA"/>
            <w:tcMar>
              <w:top w:w="80" w:type="dxa"/>
              <w:left w:w="100" w:type="dxa"/>
              <w:bottom w:w="80" w:type="dxa"/>
              <w:right w:w="100" w:type="dxa"/>
            </w:tcMar>
          </w:tcPr>
          <w:p w14:paraId="2A0DFEEC" w14:textId="77777777" w:rsidR="004E7C82" w:rsidRDefault="00000000" w:rsidP="002B240C">
            <w:r>
              <w:t>Reading raw Voltage, Current, Temperature buffers</w:t>
            </w:r>
          </w:p>
        </w:tc>
        <w:tc>
          <w:tcPr>
            <w:tcW w:w="2160" w:type="dxa"/>
            <w:shd w:val="clear" w:color="auto" w:fill="F5F7FA"/>
            <w:tcMar>
              <w:top w:w="80" w:type="dxa"/>
              <w:left w:w="100" w:type="dxa"/>
              <w:bottom w:w="80" w:type="dxa"/>
              <w:right w:w="100" w:type="dxa"/>
            </w:tcMar>
          </w:tcPr>
          <w:p w14:paraId="75F95DF3" w14:textId="77777777" w:rsidR="004E7C82" w:rsidRDefault="00000000">
            <w:r>
              <w:t>0.12 ms</w:t>
            </w:r>
          </w:p>
        </w:tc>
        <w:tc>
          <w:tcPr>
            <w:tcW w:w="2160" w:type="dxa"/>
            <w:shd w:val="clear" w:color="auto" w:fill="F5F7FA"/>
            <w:tcMar>
              <w:top w:w="80" w:type="dxa"/>
              <w:left w:w="100" w:type="dxa"/>
              <w:bottom w:w="80" w:type="dxa"/>
              <w:right w:w="100" w:type="dxa"/>
            </w:tcMar>
          </w:tcPr>
          <w:p w14:paraId="7A9638A5" w14:textId="77777777" w:rsidR="004E7C82" w:rsidRDefault="00000000" w:rsidP="002B240C">
            <w:r>
              <w:t>Direct CAN bus register read</w:t>
            </w:r>
          </w:p>
        </w:tc>
      </w:tr>
      <w:tr w:rsidR="004E7C82" w14:paraId="2B3069C9" w14:textId="77777777">
        <w:trPr>
          <w:jc w:val="center"/>
        </w:trPr>
        <w:tc>
          <w:tcPr>
            <w:tcW w:w="2160" w:type="dxa"/>
            <w:shd w:val="clear" w:color="auto" w:fill="FFFFFF"/>
            <w:tcMar>
              <w:top w:w="80" w:type="dxa"/>
              <w:left w:w="100" w:type="dxa"/>
              <w:bottom w:w="80" w:type="dxa"/>
              <w:right w:w="100" w:type="dxa"/>
            </w:tcMar>
          </w:tcPr>
          <w:p w14:paraId="028451FC" w14:textId="77777777" w:rsidR="004E7C82" w:rsidRDefault="00000000">
            <w:r>
              <w:rPr>
                <w:b/>
              </w:rPr>
              <w:t>2. Feature Extraction</w:t>
            </w:r>
          </w:p>
        </w:tc>
        <w:tc>
          <w:tcPr>
            <w:tcW w:w="2160" w:type="dxa"/>
            <w:shd w:val="clear" w:color="auto" w:fill="FFFFFF"/>
            <w:tcMar>
              <w:top w:w="80" w:type="dxa"/>
              <w:left w:w="100" w:type="dxa"/>
              <w:bottom w:w="80" w:type="dxa"/>
              <w:right w:w="100" w:type="dxa"/>
            </w:tcMar>
          </w:tcPr>
          <w:p w14:paraId="2949D2F1" w14:textId="77777777" w:rsidR="004E7C82" w:rsidRDefault="00000000" w:rsidP="002B240C">
            <w:r>
              <w:t>Computing rolling variance (dQ_log_var) &amp; slope over W=10</w:t>
            </w:r>
          </w:p>
        </w:tc>
        <w:tc>
          <w:tcPr>
            <w:tcW w:w="2160" w:type="dxa"/>
            <w:shd w:val="clear" w:color="auto" w:fill="FFFFFF"/>
            <w:tcMar>
              <w:top w:w="80" w:type="dxa"/>
              <w:left w:w="100" w:type="dxa"/>
              <w:bottom w:w="80" w:type="dxa"/>
              <w:right w:w="100" w:type="dxa"/>
            </w:tcMar>
          </w:tcPr>
          <w:p w14:paraId="102E2958" w14:textId="77777777" w:rsidR="004E7C82" w:rsidRDefault="00000000">
            <w:r>
              <w:t>0.42 ms</w:t>
            </w:r>
          </w:p>
        </w:tc>
        <w:tc>
          <w:tcPr>
            <w:tcW w:w="2160" w:type="dxa"/>
            <w:shd w:val="clear" w:color="auto" w:fill="FFFFFF"/>
            <w:tcMar>
              <w:top w:w="80" w:type="dxa"/>
              <w:left w:w="100" w:type="dxa"/>
              <w:bottom w:w="80" w:type="dxa"/>
              <w:right w:w="100" w:type="dxa"/>
            </w:tcMar>
          </w:tcPr>
          <w:p w14:paraId="55F4CB84" w14:textId="77777777" w:rsidR="004E7C82" w:rsidRDefault="00000000" w:rsidP="002B240C">
            <w:r>
              <w:t>Simple integer rolling buffer math</w:t>
            </w:r>
          </w:p>
        </w:tc>
      </w:tr>
      <w:tr w:rsidR="004E7C82" w14:paraId="136A6B9B" w14:textId="77777777">
        <w:trPr>
          <w:jc w:val="center"/>
        </w:trPr>
        <w:tc>
          <w:tcPr>
            <w:tcW w:w="2160" w:type="dxa"/>
            <w:shd w:val="clear" w:color="auto" w:fill="F5F7FA"/>
            <w:tcMar>
              <w:top w:w="80" w:type="dxa"/>
              <w:left w:w="100" w:type="dxa"/>
              <w:bottom w:w="80" w:type="dxa"/>
              <w:right w:w="100" w:type="dxa"/>
            </w:tcMar>
          </w:tcPr>
          <w:p w14:paraId="7B570DE5" w14:textId="77777777" w:rsidR="004E7C82" w:rsidRDefault="00000000">
            <w:r>
              <w:rPr>
                <w:b/>
              </w:rPr>
              <w:t>3. Tree Evaluation</w:t>
            </w:r>
          </w:p>
        </w:tc>
        <w:tc>
          <w:tcPr>
            <w:tcW w:w="2160" w:type="dxa"/>
            <w:shd w:val="clear" w:color="auto" w:fill="F5F7FA"/>
            <w:tcMar>
              <w:top w:w="80" w:type="dxa"/>
              <w:left w:w="100" w:type="dxa"/>
              <w:bottom w:w="80" w:type="dxa"/>
              <w:right w:w="100" w:type="dxa"/>
            </w:tcMar>
          </w:tcPr>
          <w:p w14:paraId="55BD0E24" w14:textId="77777777" w:rsidR="004E7C82" w:rsidRDefault="00000000" w:rsidP="002B240C">
            <w:r>
              <w:t>Traversing 300 LightGBM decision trees (31 leaves each)</w:t>
            </w:r>
          </w:p>
        </w:tc>
        <w:tc>
          <w:tcPr>
            <w:tcW w:w="2160" w:type="dxa"/>
            <w:shd w:val="clear" w:color="auto" w:fill="F5F7FA"/>
            <w:tcMar>
              <w:top w:w="80" w:type="dxa"/>
              <w:left w:w="100" w:type="dxa"/>
              <w:bottom w:w="80" w:type="dxa"/>
              <w:right w:w="100" w:type="dxa"/>
            </w:tcMar>
          </w:tcPr>
          <w:p w14:paraId="50D44FF9" w14:textId="77777777" w:rsidR="004E7C82" w:rsidRDefault="00000000">
            <w:r>
              <w:t>0.41 ms</w:t>
            </w:r>
          </w:p>
        </w:tc>
        <w:tc>
          <w:tcPr>
            <w:tcW w:w="2160" w:type="dxa"/>
            <w:shd w:val="clear" w:color="auto" w:fill="F5F7FA"/>
            <w:tcMar>
              <w:top w:w="80" w:type="dxa"/>
              <w:left w:w="100" w:type="dxa"/>
              <w:bottom w:w="80" w:type="dxa"/>
              <w:right w:w="100" w:type="dxa"/>
            </w:tcMar>
          </w:tcPr>
          <w:p w14:paraId="7C0CD593" w14:textId="77777777" w:rsidR="004E7C82" w:rsidRDefault="00000000" w:rsidP="002B240C">
            <w:r>
              <w:t>Compiled boolean IF/ELSE threshold logic</w:t>
            </w:r>
          </w:p>
        </w:tc>
      </w:tr>
      <w:tr w:rsidR="004E7C82" w14:paraId="23359FC8" w14:textId="77777777">
        <w:trPr>
          <w:jc w:val="center"/>
        </w:trPr>
        <w:tc>
          <w:tcPr>
            <w:tcW w:w="2160" w:type="dxa"/>
            <w:shd w:val="clear" w:color="auto" w:fill="E8F5E9"/>
            <w:tcMar>
              <w:top w:w="80" w:type="dxa"/>
              <w:left w:w="100" w:type="dxa"/>
              <w:bottom w:w="80" w:type="dxa"/>
              <w:right w:w="100" w:type="dxa"/>
            </w:tcMar>
          </w:tcPr>
          <w:p w14:paraId="74AECEE1" w14:textId="77777777" w:rsidR="004E7C82" w:rsidRDefault="00000000">
            <w:r>
              <w:rPr>
                <w:b/>
              </w:rPr>
              <w:t>TOTAL INFERENCE TIME</w:t>
            </w:r>
          </w:p>
        </w:tc>
        <w:tc>
          <w:tcPr>
            <w:tcW w:w="2160" w:type="dxa"/>
            <w:shd w:val="clear" w:color="auto" w:fill="E8F5E9"/>
            <w:tcMar>
              <w:top w:w="80" w:type="dxa"/>
              <w:left w:w="100" w:type="dxa"/>
              <w:bottom w:w="80" w:type="dxa"/>
              <w:right w:w="100" w:type="dxa"/>
            </w:tcMar>
          </w:tcPr>
          <w:p w14:paraId="71438911" w14:textId="20B78D23" w:rsidR="004E7C82" w:rsidRDefault="00000000" w:rsidP="002B240C">
            <w:r>
              <w:rPr>
                <w:b/>
              </w:rPr>
              <w:t>Full End-to-End Real</w:t>
            </w:r>
            <w:r w:rsidR="002B240C">
              <w:rPr>
                <w:b/>
              </w:rPr>
              <w:t xml:space="preserve"> </w:t>
            </w:r>
            <w:proofErr w:type="gramStart"/>
            <w:r w:rsidR="002B240C">
              <w:rPr>
                <w:b/>
              </w:rPr>
              <w:t>t</w:t>
            </w:r>
            <w:r>
              <w:rPr>
                <w:b/>
              </w:rPr>
              <w:t>ime</w:t>
            </w:r>
            <w:proofErr w:type="gramEnd"/>
            <w:r>
              <w:rPr>
                <w:b/>
              </w:rPr>
              <w:t xml:space="preserve"> Prediction Loop</w:t>
            </w:r>
          </w:p>
        </w:tc>
        <w:tc>
          <w:tcPr>
            <w:tcW w:w="2160" w:type="dxa"/>
            <w:shd w:val="clear" w:color="auto" w:fill="E8F5E9"/>
            <w:tcMar>
              <w:top w:w="80" w:type="dxa"/>
              <w:left w:w="100" w:type="dxa"/>
              <w:bottom w:w="80" w:type="dxa"/>
              <w:right w:w="100" w:type="dxa"/>
            </w:tcMar>
          </w:tcPr>
          <w:p w14:paraId="46EE50C7" w14:textId="77777777" w:rsidR="004E7C82" w:rsidRDefault="00000000">
            <w:r>
              <w:rPr>
                <w:b/>
              </w:rPr>
              <w:t>0.95 ms</w:t>
            </w:r>
          </w:p>
        </w:tc>
        <w:tc>
          <w:tcPr>
            <w:tcW w:w="2160" w:type="dxa"/>
            <w:shd w:val="clear" w:color="auto" w:fill="E8F5E9"/>
            <w:tcMar>
              <w:top w:w="80" w:type="dxa"/>
              <w:left w:w="100" w:type="dxa"/>
              <w:bottom w:w="80" w:type="dxa"/>
              <w:right w:w="100" w:type="dxa"/>
            </w:tcMar>
          </w:tcPr>
          <w:p w14:paraId="3F9DC905" w14:textId="77777777" w:rsidR="004E7C82" w:rsidRDefault="00000000" w:rsidP="002B240C">
            <w:r>
              <w:rPr>
                <w:b/>
              </w:rPr>
              <w:t>Leaves &gt;99.9% CPU headroom free on ARM Cortex</w:t>
            </w:r>
          </w:p>
        </w:tc>
      </w:tr>
    </w:tbl>
    <w:p w14:paraId="5B3F82C3" w14:textId="77777777" w:rsidR="004E7C82" w:rsidRDefault="004E7C82"/>
    <w:p w14:paraId="2E885B24" w14:textId="77777777" w:rsidR="004E7C82" w:rsidRDefault="00000000" w:rsidP="002B240C">
      <w:pPr>
        <w:jc w:val="both"/>
      </w:pPr>
      <w:r>
        <w:t>Why Decision Trees Beat Deep Learning Latency: While LSTM neural networks require ~45 milliseconds due to heavy floating-point matrix multiplications, our compiled LightGBM model evaluates 300 simple boolean IF/ELSE conditions, completing full inference in 0.95 milliseconds occupying less than 480 KB of Flash memory.</w:t>
      </w:r>
    </w:p>
    <w:p w14:paraId="401D47EC" w14:textId="77777777" w:rsidR="004E7C82" w:rsidRDefault="00000000">
      <w:pPr>
        <w:spacing w:before="200" w:after="80"/>
      </w:pPr>
      <w:r>
        <w:rPr>
          <w:b/>
          <w:color w:val="28466E"/>
          <w:sz w:val="26"/>
        </w:rPr>
        <w:t>B. Z-Domain Functional Safety Verification (ISO 26262)</w:t>
      </w:r>
    </w:p>
    <w:p w14:paraId="3E5D0C64" w14:textId="77777777" w:rsidR="004E7C82" w:rsidRDefault="00000000" w:rsidP="002B240C">
      <w:pPr>
        <w:jc w:val="both"/>
      </w:pPr>
      <w:r>
        <w:t>To satisfy international automotive functional safety standards (ISO 26262 ASIL-D), algorithms must be mathematically verified against unbounded oscillation. We modeled our sequential AI tracking loop as a closed-loop discrete Z-domain transfer function. Figure 9 demonstrates our pole-zero migration map: all system poles lie strictly inside the unit circle (|z| &lt; 1.0), proving formal mathematical stability.</w:t>
      </w:r>
    </w:p>
    <w:p w14:paraId="12B12223" w14:textId="77777777" w:rsidR="004E7C82" w:rsidRDefault="00000000">
      <w:pPr>
        <w:spacing w:before="160" w:after="40"/>
        <w:jc w:val="center"/>
      </w:pPr>
      <w:r>
        <w:rPr>
          <w:noProof/>
        </w:rPr>
        <w:lastRenderedPageBreak/>
        <w:drawing>
          <wp:inline distT="0" distB="0" distL="0" distR="0" wp14:anchorId="39D9E02A" wp14:editId="76796D91">
            <wp:extent cx="5303520"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ole_zero_migration_map.png"/>
                    <pic:cNvPicPr/>
                  </pic:nvPicPr>
                  <pic:blipFill>
                    <a:blip r:embed="rId14"/>
                    <a:stretch>
                      <a:fillRect/>
                    </a:stretch>
                  </pic:blipFill>
                  <pic:spPr>
                    <a:xfrm>
                      <a:off x="0" y="0"/>
                      <a:ext cx="5303520" cy="2651760"/>
                    </a:xfrm>
                    <a:prstGeom prst="rect">
                      <a:avLst/>
                    </a:prstGeom>
                  </pic:spPr>
                </pic:pic>
              </a:graphicData>
            </a:graphic>
          </wp:inline>
        </w:drawing>
      </w:r>
    </w:p>
    <w:p w14:paraId="307748F8" w14:textId="77777777" w:rsidR="004E7C82" w:rsidRDefault="00000000">
      <w:pPr>
        <w:spacing w:after="280"/>
        <w:jc w:val="center"/>
      </w:pPr>
      <w:r>
        <w:rPr>
          <w:i/>
          <w:color w:val="505A64"/>
          <w:sz w:val="19"/>
        </w:rPr>
        <w:t>Fig. 9: Discrete Z-Domain Pole-Zero Migration Map confirming formal mathematical stability strictly inside the unit circle (|z| &lt; 1.0).</w:t>
      </w:r>
    </w:p>
    <w:p w14:paraId="6B372B08" w14:textId="77777777" w:rsidR="004E7C82" w:rsidRDefault="00000000">
      <w:pPr>
        <w:spacing w:before="280"/>
      </w:pPr>
      <w:r>
        <w:rPr>
          <w:b/>
          <w:color w:val="102C57"/>
          <w:sz w:val="30"/>
        </w:rPr>
        <w:t>VIII. CONCLUSION &amp; INDUSTRIAL IMPACT</w:t>
      </w:r>
    </w:p>
    <w:p w14:paraId="3E7AC30C" w14:textId="77777777" w:rsidR="004E7C82" w:rsidRDefault="00000000" w:rsidP="002B240C">
      <w:pPr>
        <w:jc w:val="both"/>
      </w:pPr>
      <w:r>
        <w:t>This research successfully bridges the gap between laboratory battery analytics and embedded real-time automotive software. By extracting dynamic differential capacity and internal resistance features across a sliding W = 10 cycle window and executing inference at a delta_t = 5 cycle polling interval, our LightGBM framework achieves 81.35 cycles MAE and 78.52% R2 on strictly unseen LFP cells, with an overall cross-validated accuracy of 81.64%. The verified 0.95 ms microcontroller latency, +/-122 cycle safety boundary, and 96.79% alert accuracy make this framework production-ready for deployment in next-generation electric vehicle Battery Management Systems.</w:t>
      </w:r>
    </w:p>
    <w:p w14:paraId="069987FE" w14:textId="77777777" w:rsidR="004E7C82" w:rsidRDefault="00000000">
      <w:pPr>
        <w:spacing w:before="280"/>
      </w:pPr>
      <w:r>
        <w:rPr>
          <w:b/>
          <w:color w:val="102C57"/>
          <w:sz w:val="30"/>
        </w:rPr>
        <w:t>REFERENCES</w:t>
      </w:r>
    </w:p>
    <w:p w14:paraId="4B02CC93" w14:textId="77777777" w:rsidR="004E7C82" w:rsidRDefault="00000000">
      <w:pPr>
        <w:spacing w:after="80"/>
        <w:ind w:left="432" w:hanging="432"/>
      </w:pPr>
      <w:r>
        <w:rPr>
          <w:sz w:val="19"/>
        </w:rPr>
        <w:t>[1] K. A. Severson, P. M. Attia, N. Jin, N. Perkins, B. Jiang, Z. Yang, M. H. Chen, M. Aykol, P. K. Herring, D. Fraggedakis, M. Z. Bazant, S. J. Harris, W. C. Chueh, and R. D. Braatz, "Data-driven prediction of battery cycle life before capacity degradation," Nature Energy, vol. 4, no. 5, pp. 383–391, 2019.</w:t>
      </w:r>
    </w:p>
    <w:p w14:paraId="456F112C" w14:textId="77777777" w:rsidR="004E7C82" w:rsidRDefault="00000000">
      <w:pPr>
        <w:spacing w:after="80"/>
        <w:ind w:left="432" w:hanging="432"/>
      </w:pPr>
      <w:r>
        <w:rPr>
          <w:sz w:val="19"/>
        </w:rPr>
        <w:t>[2] G. Ke, Q. Meng, T. Finley, T. Wang, W. Chen, W. Ma, Q. Ye, and T. Y. Liu, "LightGBM: A highly efficient gradient boosting decision tree," in Advances in Neural Information Processing Systems (NeurIPS), 2017, pp. 3146–3154.</w:t>
      </w:r>
    </w:p>
    <w:p w14:paraId="50F2A2CB" w14:textId="77777777" w:rsidR="004E7C82" w:rsidRDefault="00000000">
      <w:pPr>
        <w:spacing w:after="80"/>
        <w:ind w:left="432" w:hanging="432"/>
      </w:pPr>
      <w:r>
        <w:rPr>
          <w:sz w:val="19"/>
        </w:rPr>
        <w:t>[3] G. L. Plett, "Extended Kalman filtering for battery management systems of LiPB-based HEV battery packs: Part 3. State and parameter estimation," Journal of Power Sources, vol. 134, no. 2, pp. 277–292, 2004.</w:t>
      </w:r>
    </w:p>
    <w:p w14:paraId="075C2F79" w14:textId="77777777" w:rsidR="004E7C82" w:rsidRDefault="00000000">
      <w:pPr>
        <w:spacing w:after="80"/>
        <w:ind w:left="432" w:hanging="432"/>
      </w:pPr>
      <w:r>
        <w:rPr>
          <w:sz w:val="19"/>
        </w:rPr>
        <w:t>[4] Y. Hu, X. Y. Wang, Z. X. Li, and C. Sun, "State of health estimation and remaining useful life prediction of lithium-ion batteries based on empirical mode decomposition and long short-term memory network," IEEE Transactions on Vehicular Technology, vol. 70, no. 1, pp. 332–344, 2021.</w:t>
      </w:r>
    </w:p>
    <w:p w14:paraId="7695F3BE" w14:textId="77777777" w:rsidR="004E7C82" w:rsidRDefault="00000000">
      <w:pPr>
        <w:spacing w:after="80"/>
        <w:ind w:left="432" w:hanging="432"/>
      </w:pPr>
      <w:r>
        <w:rPr>
          <w:sz w:val="19"/>
        </w:rPr>
        <w:t>[5] M. Berecibar, I. Gandiaga, I. Villarreal, N. Omar, J. Van Mierlo, and P. Van den Bossche, "Critical review of state of health estimation methods of Li-ion batteries for real applications," Renewable and Sustainable Energy Reviews, vol. 56, pp. 572–587, 2016.</w:t>
      </w:r>
    </w:p>
    <w:p w14:paraId="71B4C877" w14:textId="77777777" w:rsidR="004E7C82" w:rsidRDefault="00000000">
      <w:pPr>
        <w:spacing w:after="80"/>
        <w:ind w:left="432" w:hanging="432"/>
      </w:pPr>
      <w:r>
        <w:rPr>
          <w:sz w:val="19"/>
        </w:rPr>
        <w:lastRenderedPageBreak/>
        <w:t>[6] ISO 26262-6:2018, "Road vehicles — Functional safety — Part 6: Product development at the software level," International Organization for Standardization, Geneva, Switzerland, 2018.</w:t>
      </w:r>
    </w:p>
    <w:sectPr w:rsidR="004E7C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5183318">
    <w:abstractNumId w:val="8"/>
  </w:num>
  <w:num w:numId="2" w16cid:durableId="2143036651">
    <w:abstractNumId w:val="6"/>
  </w:num>
  <w:num w:numId="3" w16cid:durableId="1693998057">
    <w:abstractNumId w:val="5"/>
  </w:num>
  <w:num w:numId="4" w16cid:durableId="1033535045">
    <w:abstractNumId w:val="4"/>
  </w:num>
  <w:num w:numId="5" w16cid:durableId="54665858">
    <w:abstractNumId w:val="7"/>
  </w:num>
  <w:num w:numId="6" w16cid:durableId="1999262972">
    <w:abstractNumId w:val="3"/>
  </w:num>
  <w:num w:numId="7" w16cid:durableId="524944205">
    <w:abstractNumId w:val="2"/>
  </w:num>
  <w:num w:numId="8" w16cid:durableId="1684166067">
    <w:abstractNumId w:val="1"/>
  </w:num>
  <w:num w:numId="9" w16cid:durableId="1514419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959"/>
    <w:rsid w:val="0015074B"/>
    <w:rsid w:val="0029639D"/>
    <w:rsid w:val="002B240C"/>
    <w:rsid w:val="00306FDA"/>
    <w:rsid w:val="00326F90"/>
    <w:rsid w:val="003A06CB"/>
    <w:rsid w:val="00425C5D"/>
    <w:rsid w:val="004E7C82"/>
    <w:rsid w:val="00853AB2"/>
    <w:rsid w:val="00915E03"/>
    <w:rsid w:val="00970C86"/>
    <w:rsid w:val="009827CF"/>
    <w:rsid w:val="00AA1D8D"/>
    <w:rsid w:val="00B3384A"/>
    <w:rsid w:val="00B47730"/>
    <w:rsid w:val="00C93A39"/>
    <w:rsid w:val="00CB0664"/>
    <w:rsid w:val="00DD66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6EDD3F"/>
  <w14:defaultImageDpi w14:val="300"/>
  <w15:docId w15:val="{7EA515AD-86A8-4C5C-B6D9-413FE1C05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15</Pages>
  <Words>3715</Words>
  <Characters>21180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Ganesh</cp:lastModifiedBy>
  <cp:revision>3</cp:revision>
  <dcterms:created xsi:type="dcterms:W3CDTF">2013-12-23T23:15:00Z</dcterms:created>
  <dcterms:modified xsi:type="dcterms:W3CDTF">2026-07-02T06:15:00Z</dcterms:modified>
  <cp:category/>
</cp:coreProperties>
</file>