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4226" w14:textId="77777777" w:rsidR="008D666D" w:rsidRDefault="00000000">
      <w:pPr>
        <w:spacing w:before="280"/>
      </w:pPr>
      <w:r>
        <w:rPr>
          <w:b/>
          <w:color w:val="102C57"/>
          <w:sz w:val="30"/>
        </w:rPr>
        <w:t>IV. PHYSICS-INFORMED FEATURE ENGINEERING</w:t>
      </w:r>
    </w:p>
    <w:p w14:paraId="0526A6C8" w14:textId="77777777" w:rsidR="009511FC" w:rsidRDefault="009511FC">
      <w:r w:rsidRPr="009511FC">
        <w:t>The process of feature engineering for predicting remaining useful life of batteries closes the gap between the raw time series sensor data and degradation mechanisms from the point of view of electrochemistry. Rather than using direct and uncalibrated values of voltage and current data, which forces the model to find complicated thermodynamic processes by itself, we derive eight features that correspond to known degradation mechanisms including loss of active material, solid electrolyte interphase growth, or lithium plating. In this way, we inject our domain expertise into the feature set, decreasing the problem dimensionality.</w:t>
      </w:r>
    </w:p>
    <w:p w14:paraId="524BBEBE" w14:textId="77777777" w:rsidR="009511FC" w:rsidRDefault="009511FC">
      <w:r w:rsidRPr="009511FC">
        <w:t xml:space="preserve">To model the dynamics of battery aging without burdening onboard microcontrollers, all eight features are computed using a sliding window of ten successive charge-discharge cycles. These empirical investigations confirm that a </w:t>
      </w:r>
      <w:proofErr w:type="gramStart"/>
      <w:r w:rsidRPr="009511FC">
        <w:t>ten cycle</w:t>
      </w:r>
      <w:proofErr w:type="gramEnd"/>
      <w:r w:rsidRPr="009511FC">
        <w:t xml:space="preserve"> window is indeed the best operational range. Windows of fewer than ten cycles, namely three to five cycles, suffer from too much statistical noise caused by sensor variability and small changes in environmental temperatures. On the other hand, windows of more than ten cycles, like twenty or fifty cycles, oversimplify the local rate of degradation and fail to detect sudden trajectory changes.</w:t>
      </w:r>
    </w:p>
    <w:p w14:paraId="12E69F32" w14:textId="0909A6AC" w:rsidR="008D666D" w:rsidRDefault="00000000">
      <w:r>
        <w:rPr>
          <w:b/>
        </w:rPr>
        <w:t>Table I: Physics-Informed Feature Set and Computation Formulas</w:t>
      </w:r>
    </w:p>
    <w:tbl>
      <w:tblPr>
        <w:tblStyle w:val="TableGrid"/>
        <w:tblW w:w="0" w:type="auto"/>
        <w:tblLook w:val="04A0" w:firstRow="1" w:lastRow="0" w:firstColumn="1" w:lastColumn="0" w:noHBand="0" w:noVBand="1"/>
      </w:tblPr>
      <w:tblGrid>
        <w:gridCol w:w="2160"/>
        <w:gridCol w:w="2160"/>
        <w:gridCol w:w="2160"/>
        <w:gridCol w:w="2160"/>
      </w:tblGrid>
      <w:tr w:rsidR="008D666D" w14:paraId="2BFE3136" w14:textId="77777777">
        <w:tc>
          <w:tcPr>
            <w:tcW w:w="2160" w:type="dxa"/>
            <w:shd w:val="clear" w:color="auto" w:fill="102C57"/>
          </w:tcPr>
          <w:p w14:paraId="3475F324" w14:textId="77777777" w:rsidR="008D666D" w:rsidRDefault="00000000">
            <w:r>
              <w:rPr>
                <w:b/>
                <w:color w:val="FFFFFF"/>
              </w:rPr>
              <w:t>Feature Symbol</w:t>
            </w:r>
          </w:p>
        </w:tc>
        <w:tc>
          <w:tcPr>
            <w:tcW w:w="2160" w:type="dxa"/>
            <w:shd w:val="clear" w:color="auto" w:fill="102C57"/>
          </w:tcPr>
          <w:p w14:paraId="2BFD8BD7" w14:textId="77777777" w:rsidR="008D666D" w:rsidRDefault="00000000">
            <w:r>
              <w:rPr>
                <w:b/>
                <w:color w:val="FFFFFF"/>
              </w:rPr>
              <w:t>Mathematical Definition</w:t>
            </w:r>
          </w:p>
        </w:tc>
        <w:tc>
          <w:tcPr>
            <w:tcW w:w="2160" w:type="dxa"/>
            <w:shd w:val="clear" w:color="auto" w:fill="102C57"/>
          </w:tcPr>
          <w:p w14:paraId="38EA6FD4" w14:textId="77777777" w:rsidR="008D666D" w:rsidRDefault="00000000">
            <w:r>
              <w:rPr>
                <w:b/>
                <w:color w:val="FFFFFF"/>
              </w:rPr>
              <w:t>Physical Meaning &amp; Degradation Link</w:t>
            </w:r>
          </w:p>
        </w:tc>
        <w:tc>
          <w:tcPr>
            <w:tcW w:w="2160" w:type="dxa"/>
            <w:shd w:val="clear" w:color="auto" w:fill="102C57"/>
          </w:tcPr>
          <w:p w14:paraId="14D0DEC0" w14:textId="77777777" w:rsidR="008D666D" w:rsidRDefault="00000000">
            <w:r>
              <w:rPr>
                <w:b/>
                <w:color w:val="FFFFFF"/>
              </w:rPr>
              <w:t>Computation Formula</w:t>
            </w:r>
          </w:p>
        </w:tc>
      </w:tr>
      <w:tr w:rsidR="008D666D" w14:paraId="09D82F40" w14:textId="77777777">
        <w:tc>
          <w:tcPr>
            <w:tcW w:w="2160" w:type="dxa"/>
          </w:tcPr>
          <w:p w14:paraId="51B2A6B4" w14:textId="77777777" w:rsidR="008D666D" w:rsidRDefault="00000000">
            <w:r>
              <w:rPr>
                <w:sz w:val="19"/>
              </w:rPr>
              <w:t>Q_dis</w:t>
            </w:r>
          </w:p>
        </w:tc>
        <w:tc>
          <w:tcPr>
            <w:tcW w:w="2160" w:type="dxa"/>
          </w:tcPr>
          <w:p w14:paraId="4DB2292C" w14:textId="77777777" w:rsidR="008D666D" w:rsidRDefault="00000000">
            <w:r>
              <w:rPr>
                <w:sz w:val="19"/>
              </w:rPr>
              <w:t>Mean Discharge Capacity</w:t>
            </w:r>
          </w:p>
        </w:tc>
        <w:tc>
          <w:tcPr>
            <w:tcW w:w="2160" w:type="dxa"/>
          </w:tcPr>
          <w:p w14:paraId="46E25866" w14:textId="77777777" w:rsidR="008D666D" w:rsidRDefault="00000000">
            <w:r>
              <w:rPr>
                <w:sz w:val="19"/>
              </w:rPr>
              <w:t>Tracks absolute capacity fade; primary macro-level proxy for overall State of Health.</w:t>
            </w:r>
          </w:p>
        </w:tc>
        <w:tc>
          <w:tcPr>
            <w:tcW w:w="2160" w:type="dxa"/>
          </w:tcPr>
          <w:p w14:paraId="74660B9B" w14:textId="77777777" w:rsidR="008D666D" w:rsidRDefault="00000000">
            <w:r>
              <w:rPr>
                <w:sz w:val="19"/>
              </w:rPr>
              <w:t>Mean of Q_dis(k) over window W=10</w:t>
            </w:r>
          </w:p>
        </w:tc>
      </w:tr>
      <w:tr w:rsidR="008D666D" w14:paraId="6D5747D6" w14:textId="77777777">
        <w:tc>
          <w:tcPr>
            <w:tcW w:w="2160" w:type="dxa"/>
          </w:tcPr>
          <w:p w14:paraId="45995A21" w14:textId="77777777" w:rsidR="008D666D" w:rsidRDefault="00000000">
            <w:r>
              <w:rPr>
                <w:sz w:val="19"/>
              </w:rPr>
              <w:t>IR</w:t>
            </w:r>
          </w:p>
        </w:tc>
        <w:tc>
          <w:tcPr>
            <w:tcW w:w="2160" w:type="dxa"/>
          </w:tcPr>
          <w:p w14:paraId="27238074" w14:textId="77777777" w:rsidR="008D666D" w:rsidRDefault="00000000">
            <w:r>
              <w:rPr>
                <w:sz w:val="19"/>
              </w:rPr>
              <w:t>Internal Resistance</w:t>
            </w:r>
          </w:p>
        </w:tc>
        <w:tc>
          <w:tcPr>
            <w:tcW w:w="2160" w:type="dxa"/>
          </w:tcPr>
          <w:p w14:paraId="18039B2A" w14:textId="77777777" w:rsidR="008D666D" w:rsidRDefault="00000000">
            <w:r>
              <w:rPr>
                <w:sz w:val="19"/>
              </w:rPr>
              <w:t>Measures ohmic + SEI conduction resistance; primary indicator of electrolyte decomposition.</w:t>
            </w:r>
          </w:p>
        </w:tc>
        <w:tc>
          <w:tcPr>
            <w:tcW w:w="2160" w:type="dxa"/>
          </w:tcPr>
          <w:p w14:paraId="5D645680" w14:textId="77777777" w:rsidR="008D666D" w:rsidRDefault="00000000">
            <w:r>
              <w:rPr>
                <w:sz w:val="19"/>
              </w:rPr>
              <w:t>Mean of dV/dI during pulse at 10% SOC</w:t>
            </w:r>
          </w:p>
        </w:tc>
      </w:tr>
      <w:tr w:rsidR="008D666D" w14:paraId="4387D228" w14:textId="77777777">
        <w:tc>
          <w:tcPr>
            <w:tcW w:w="2160" w:type="dxa"/>
          </w:tcPr>
          <w:p w14:paraId="486BC6B1" w14:textId="77777777" w:rsidR="008D666D" w:rsidRDefault="00000000">
            <w:r>
              <w:rPr>
                <w:sz w:val="19"/>
              </w:rPr>
              <w:t>dQ_log_var</w:t>
            </w:r>
          </w:p>
        </w:tc>
        <w:tc>
          <w:tcPr>
            <w:tcW w:w="2160" w:type="dxa"/>
          </w:tcPr>
          <w:p w14:paraId="69B24825" w14:textId="77777777" w:rsidR="008D666D" w:rsidRDefault="00000000">
            <w:r>
              <w:rPr>
                <w:sz w:val="19"/>
              </w:rPr>
              <w:t>IC Curve Log-Variance</w:t>
            </w:r>
          </w:p>
        </w:tc>
        <w:tc>
          <w:tcPr>
            <w:tcW w:w="2160" w:type="dxa"/>
          </w:tcPr>
          <w:p w14:paraId="77869718" w14:textId="77777777" w:rsidR="008D666D" w:rsidRDefault="00000000">
            <w:r>
              <w:rPr>
                <w:sz w:val="19"/>
              </w:rPr>
              <w:t>Captures thermodynamic peak broadening in incremental capacity curve; early sentinel.</w:t>
            </w:r>
          </w:p>
        </w:tc>
        <w:tc>
          <w:tcPr>
            <w:tcW w:w="2160" w:type="dxa"/>
          </w:tcPr>
          <w:p w14:paraId="015F63E4" w14:textId="77777777" w:rsidR="008D666D" w:rsidRDefault="00000000">
            <w:r>
              <w:rPr>
                <w:sz w:val="19"/>
              </w:rPr>
              <w:t>Log of variance of dQ/dV over window W</w:t>
            </w:r>
          </w:p>
        </w:tc>
      </w:tr>
      <w:tr w:rsidR="008D666D" w14:paraId="039AAB2C" w14:textId="77777777">
        <w:tc>
          <w:tcPr>
            <w:tcW w:w="2160" w:type="dxa"/>
          </w:tcPr>
          <w:p w14:paraId="4C962871" w14:textId="77777777" w:rsidR="008D666D" w:rsidRDefault="00000000">
            <w:r>
              <w:rPr>
                <w:sz w:val="19"/>
              </w:rPr>
              <w:t>Q_var</w:t>
            </w:r>
          </w:p>
        </w:tc>
        <w:tc>
          <w:tcPr>
            <w:tcW w:w="2160" w:type="dxa"/>
          </w:tcPr>
          <w:p w14:paraId="379A492C" w14:textId="77777777" w:rsidR="008D666D" w:rsidRDefault="00000000">
            <w:r>
              <w:rPr>
                <w:sz w:val="19"/>
              </w:rPr>
              <w:t>Capacity Variance</w:t>
            </w:r>
          </w:p>
        </w:tc>
        <w:tc>
          <w:tcPr>
            <w:tcW w:w="2160" w:type="dxa"/>
          </w:tcPr>
          <w:p w14:paraId="34F5F9D2" w14:textId="77777777" w:rsidR="008D666D" w:rsidRDefault="00000000">
            <w:r>
              <w:rPr>
                <w:sz w:val="19"/>
              </w:rPr>
              <w:t>Quantifies cycle-to-cycle capacity stability; spikes abruptly near the aging knee point.</w:t>
            </w:r>
          </w:p>
        </w:tc>
        <w:tc>
          <w:tcPr>
            <w:tcW w:w="2160" w:type="dxa"/>
          </w:tcPr>
          <w:p w14:paraId="5B7DC926" w14:textId="77777777" w:rsidR="008D666D" w:rsidRDefault="00000000">
            <w:r>
              <w:rPr>
                <w:sz w:val="19"/>
              </w:rPr>
              <w:t>Variance of Q_dis(k) over window W=10</w:t>
            </w:r>
          </w:p>
        </w:tc>
      </w:tr>
      <w:tr w:rsidR="008D666D" w14:paraId="083B8EA4" w14:textId="77777777">
        <w:tc>
          <w:tcPr>
            <w:tcW w:w="2160" w:type="dxa"/>
          </w:tcPr>
          <w:p w14:paraId="5FA56DD5" w14:textId="77777777" w:rsidR="008D666D" w:rsidRDefault="00000000">
            <w:r>
              <w:rPr>
                <w:sz w:val="19"/>
              </w:rPr>
              <w:t>Q_dot</w:t>
            </w:r>
          </w:p>
        </w:tc>
        <w:tc>
          <w:tcPr>
            <w:tcW w:w="2160" w:type="dxa"/>
          </w:tcPr>
          <w:p w14:paraId="68735CB8" w14:textId="77777777" w:rsidR="008D666D" w:rsidRDefault="00000000">
            <w:r>
              <w:rPr>
                <w:sz w:val="19"/>
              </w:rPr>
              <w:t>Capacity Fade Rate</w:t>
            </w:r>
          </w:p>
        </w:tc>
        <w:tc>
          <w:tcPr>
            <w:tcW w:w="2160" w:type="dxa"/>
          </w:tcPr>
          <w:p w14:paraId="2CB8DE9B" w14:textId="77777777" w:rsidR="008D666D" w:rsidRDefault="00000000">
            <w:r>
              <w:rPr>
                <w:sz w:val="19"/>
              </w:rPr>
              <w:t>Linear slope of capacity loss; measures local degradation speed rather than cumulative loss.</w:t>
            </w:r>
          </w:p>
        </w:tc>
        <w:tc>
          <w:tcPr>
            <w:tcW w:w="2160" w:type="dxa"/>
          </w:tcPr>
          <w:p w14:paraId="4B409907" w14:textId="77777777" w:rsidR="008D666D" w:rsidRDefault="00000000">
            <w:r>
              <w:rPr>
                <w:sz w:val="19"/>
              </w:rPr>
              <w:t>Linear regression slope of Q_dis vs cycle k</w:t>
            </w:r>
          </w:p>
        </w:tc>
      </w:tr>
      <w:tr w:rsidR="008D666D" w14:paraId="74DB2577" w14:textId="77777777">
        <w:tc>
          <w:tcPr>
            <w:tcW w:w="2160" w:type="dxa"/>
          </w:tcPr>
          <w:p w14:paraId="6FDBEF09" w14:textId="77777777" w:rsidR="008D666D" w:rsidRDefault="00000000">
            <w:r>
              <w:rPr>
                <w:sz w:val="19"/>
              </w:rPr>
              <w:t>T_mean</w:t>
            </w:r>
          </w:p>
        </w:tc>
        <w:tc>
          <w:tcPr>
            <w:tcW w:w="2160" w:type="dxa"/>
          </w:tcPr>
          <w:p w14:paraId="636E14B8" w14:textId="77777777" w:rsidR="008D666D" w:rsidRDefault="00000000">
            <w:r>
              <w:rPr>
                <w:sz w:val="19"/>
              </w:rPr>
              <w:t>Mean Discharge Temp</w:t>
            </w:r>
          </w:p>
        </w:tc>
        <w:tc>
          <w:tcPr>
            <w:tcW w:w="2160" w:type="dxa"/>
          </w:tcPr>
          <w:p w14:paraId="111DB8C7" w14:textId="77777777" w:rsidR="008D666D" w:rsidRDefault="00000000">
            <w:r>
              <w:rPr>
                <w:sz w:val="19"/>
              </w:rPr>
              <w:t xml:space="preserve">Monitors thermal stress during operational discharge; drives </w:t>
            </w:r>
            <w:r>
              <w:rPr>
                <w:sz w:val="19"/>
              </w:rPr>
              <w:lastRenderedPageBreak/>
              <w:t>Arrhenius aging acceleration.</w:t>
            </w:r>
          </w:p>
        </w:tc>
        <w:tc>
          <w:tcPr>
            <w:tcW w:w="2160" w:type="dxa"/>
          </w:tcPr>
          <w:p w14:paraId="3C466D48" w14:textId="77777777" w:rsidR="008D666D" w:rsidRDefault="00000000">
            <w:r>
              <w:rPr>
                <w:sz w:val="19"/>
              </w:rPr>
              <w:lastRenderedPageBreak/>
              <w:t xml:space="preserve">Mean core/surface temperature over </w:t>
            </w:r>
            <w:r>
              <w:rPr>
                <w:sz w:val="19"/>
              </w:rPr>
              <w:lastRenderedPageBreak/>
              <w:t>window W</w:t>
            </w:r>
          </w:p>
        </w:tc>
      </w:tr>
      <w:tr w:rsidR="008D666D" w14:paraId="7402A074" w14:textId="77777777">
        <w:tc>
          <w:tcPr>
            <w:tcW w:w="2160" w:type="dxa"/>
          </w:tcPr>
          <w:p w14:paraId="16393CEB" w14:textId="77777777" w:rsidR="008D666D" w:rsidRDefault="00000000">
            <w:r>
              <w:rPr>
                <w:sz w:val="19"/>
              </w:rPr>
              <w:lastRenderedPageBreak/>
              <w:t>t_charge</w:t>
            </w:r>
          </w:p>
        </w:tc>
        <w:tc>
          <w:tcPr>
            <w:tcW w:w="2160" w:type="dxa"/>
          </w:tcPr>
          <w:p w14:paraId="2CE2D26C" w14:textId="77777777" w:rsidR="008D666D" w:rsidRDefault="00000000">
            <w:r>
              <w:rPr>
                <w:sz w:val="19"/>
              </w:rPr>
              <w:t>Time to 80% SOC</w:t>
            </w:r>
          </w:p>
        </w:tc>
        <w:tc>
          <w:tcPr>
            <w:tcW w:w="2160" w:type="dxa"/>
          </w:tcPr>
          <w:p w14:paraId="14AF44EA" w14:textId="77777777" w:rsidR="008D666D" w:rsidRDefault="00000000">
            <w:r>
              <w:rPr>
                <w:sz w:val="19"/>
              </w:rPr>
              <w:t>Fast-charge duration; increases as rising internal impedance throttles constant-current phase.</w:t>
            </w:r>
          </w:p>
        </w:tc>
        <w:tc>
          <w:tcPr>
            <w:tcW w:w="2160" w:type="dxa"/>
          </w:tcPr>
          <w:p w14:paraId="22F38A05" w14:textId="77777777" w:rsidR="008D666D" w:rsidRDefault="00000000">
            <w:r>
              <w:rPr>
                <w:sz w:val="19"/>
              </w:rPr>
              <w:t>Mean charging duration to reach 80% SOC</w:t>
            </w:r>
          </w:p>
        </w:tc>
      </w:tr>
      <w:tr w:rsidR="008D666D" w14:paraId="542E80B3" w14:textId="77777777">
        <w:tc>
          <w:tcPr>
            <w:tcW w:w="2160" w:type="dxa"/>
          </w:tcPr>
          <w:p w14:paraId="23D27CA7" w14:textId="77777777" w:rsidR="008D666D" w:rsidRDefault="00000000">
            <w:r>
              <w:rPr>
                <w:sz w:val="19"/>
              </w:rPr>
              <w:t>V_min</w:t>
            </w:r>
          </w:p>
        </w:tc>
        <w:tc>
          <w:tcPr>
            <w:tcW w:w="2160" w:type="dxa"/>
          </w:tcPr>
          <w:p w14:paraId="5D04C58B" w14:textId="77777777" w:rsidR="008D666D" w:rsidRDefault="00000000">
            <w:r>
              <w:rPr>
                <w:sz w:val="19"/>
              </w:rPr>
              <w:t>End-of-Discharge Voltage</w:t>
            </w:r>
          </w:p>
        </w:tc>
        <w:tc>
          <w:tcPr>
            <w:tcW w:w="2160" w:type="dxa"/>
          </w:tcPr>
          <w:p w14:paraId="1B1B4C27" w14:textId="77777777" w:rsidR="008D666D" w:rsidRDefault="00000000">
            <w:r>
              <w:rPr>
                <w:sz w:val="19"/>
              </w:rPr>
              <w:t>Reflects depth of discharge polarization and rising overpotential under heavy load.</w:t>
            </w:r>
          </w:p>
        </w:tc>
        <w:tc>
          <w:tcPr>
            <w:tcW w:w="2160" w:type="dxa"/>
          </w:tcPr>
          <w:p w14:paraId="014521CE" w14:textId="77777777" w:rsidR="008D666D" w:rsidRDefault="00000000">
            <w:r>
              <w:rPr>
                <w:sz w:val="19"/>
              </w:rPr>
              <w:t>Mean minimum terminal voltage across window</w:t>
            </w:r>
          </w:p>
        </w:tc>
      </w:tr>
    </w:tbl>
    <w:p w14:paraId="68AA4A78" w14:textId="1B300C52" w:rsidR="009511FC" w:rsidRDefault="009511FC">
      <w:r w:rsidRPr="009511FC">
        <w:t>Among the eight engineered metrics, the logarithmic variance of the incremental capacity profile stands out as the most reliable early warning signal, distinguishing this system from the typical State of Health monitoring methods. The incremental capacity method is based on a differentiation of the capacity according to the voltage (</w:t>
      </w:r>
      <w:proofErr w:type="spellStart"/>
      <w:r w:rsidRPr="009511FC">
        <w:t>dQ</w:t>
      </w:r>
      <w:proofErr w:type="spellEnd"/>
      <w:r w:rsidRPr="009511FC">
        <w:t>/</w:t>
      </w:r>
      <w:proofErr w:type="spellStart"/>
      <w:r w:rsidRPr="009511FC">
        <w:t>dV</w:t>
      </w:r>
      <w:proofErr w:type="spellEnd"/>
      <w:r w:rsidRPr="009511FC">
        <w:t xml:space="preserve">). This technique transforms the open-circuit voltage plateaus into electrochemical phase transition peaks. During the life cycle of a lithium iron phosphate battery, the loss of active lithium and lattice strain lead to the reduction in the sharpness of the phase transition peaks. Monitoring the logarithmic variance of the </w:t>
      </w:r>
      <w:proofErr w:type="spellStart"/>
      <w:r w:rsidRPr="009511FC">
        <w:t>dQ</w:t>
      </w:r>
      <w:proofErr w:type="spellEnd"/>
      <w:r w:rsidRPr="009511FC">
        <w:t>/</w:t>
      </w:r>
      <w:proofErr w:type="spellStart"/>
      <w:r w:rsidRPr="009511FC">
        <w:t>dV</w:t>
      </w:r>
      <w:proofErr w:type="spellEnd"/>
      <w:r w:rsidRPr="009511FC">
        <w:t xml:space="preserve"> profile helps detect </w:t>
      </w:r>
      <w:proofErr w:type="gramStart"/>
      <w:r w:rsidRPr="009511FC">
        <w:t>this broadening tens</w:t>
      </w:r>
      <w:proofErr w:type="gramEnd"/>
      <w:r w:rsidRPr="009511FC">
        <w:t xml:space="preserve"> of cycles prior to the onset of any observable capacity degradation.</w:t>
      </w:r>
    </w:p>
    <w:p w14:paraId="4B3E8578" w14:textId="2C11157A" w:rsidR="008D666D" w:rsidRDefault="009511FC" w:rsidP="009511FC">
      <w:r w:rsidRPr="009511FC">
        <w:t xml:space="preserve">Gradient-boosted feature gain analysis indicates that internal resistance is dominant among the features used to build our decision trees, contributing more than thirty-five percent of all split gain. This order of feature importance is </w:t>
      </w:r>
      <w:proofErr w:type="gramStart"/>
      <w:r w:rsidRPr="009511FC">
        <w:t>an empirical evidence</w:t>
      </w:r>
      <w:proofErr w:type="gramEnd"/>
      <w:r w:rsidRPr="009511FC">
        <w:t xml:space="preserve"> that supports the physical rationale behind our model. In lithium iron phosphate batteries, internal resistance increases due to the formation of the solid electrolyte interphase layer and consumption of the electrolyte. The dominant contribution of internal resistance in our split gain allows us to connect our empirical machine learning with electrochemical fundamentals.</w:t>
      </w:r>
    </w:p>
    <w:sectPr w:rsidR="008D66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9319171">
    <w:abstractNumId w:val="8"/>
  </w:num>
  <w:num w:numId="2" w16cid:durableId="510219747">
    <w:abstractNumId w:val="6"/>
  </w:num>
  <w:num w:numId="3" w16cid:durableId="2036808340">
    <w:abstractNumId w:val="5"/>
  </w:num>
  <w:num w:numId="4" w16cid:durableId="780346068">
    <w:abstractNumId w:val="4"/>
  </w:num>
  <w:num w:numId="5" w16cid:durableId="663971402">
    <w:abstractNumId w:val="7"/>
  </w:num>
  <w:num w:numId="6" w16cid:durableId="915481308">
    <w:abstractNumId w:val="3"/>
  </w:num>
  <w:num w:numId="7" w16cid:durableId="1651835031">
    <w:abstractNumId w:val="2"/>
  </w:num>
  <w:num w:numId="8" w16cid:durableId="165052087">
    <w:abstractNumId w:val="1"/>
  </w:num>
  <w:num w:numId="9" w16cid:durableId="1770202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111A"/>
    <w:rsid w:val="008D666D"/>
    <w:rsid w:val="009511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26066"/>
  <w14:defaultImageDpi w14:val="300"/>
  <w15:docId w15:val="{33F6324E-4B03-4FDC-B99C-1105ECBA3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804</TotalTime>
  <Pages>2</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Ganesh</cp:lastModifiedBy>
  <cp:revision>2</cp:revision>
  <dcterms:created xsi:type="dcterms:W3CDTF">2013-12-23T23:15:00Z</dcterms:created>
  <dcterms:modified xsi:type="dcterms:W3CDTF">2026-07-03T04:00:00Z</dcterms:modified>
  <cp:category/>
</cp:coreProperties>
</file>