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Section VIII: Conclusion (Final Review Draft)</w:t>
      </w:r>
    </w:p>
    <w:p>
      <w:r>
        <w:rPr>
          <w:b/>
          <w:sz w:val="26"/>
        </w:rPr>
        <w:t>VIII. CONCLUSION</w:t>
      </w:r>
    </w:p>
    <w:p>
      <w:r>
        <w:t>Accurate and real-time prognostics for Lithium-Iron-Phosphate (LFP) batteries remain an ongoing engineering challenge in electric vehicle deployment due to the characteristic thermodynamic voltage plateau that masks internal active material degradation. In this paper, we presented a comprehensive, physics-informed machine learning framework utilizing gradient-boosted decision trees (LightGBM) tailored specifically for embedded automotive Battery Management Systems (BMS). By shifting away from computationally prohibitive deep recurrent neural networks and raw voltage tracking, our system bridges theoretical electrochemistry and microcontroller execution feasibility.</w:t>
      </w:r>
    </w:p>
    <w:p>
      <w:r>
        <w:t>Rigorous evaluation across 124 commercial APR18650M1A cylindrical LFP cells (comprising 22,474 operational evaluation checkpoints under 72 distinct multi-stage fast-charging protocols) demonstrated the distinct advantages of our methodology. Employing a leakage-free GroupShuffleSplit validation protocol at the physical cell level, the LightGBM model achieved an out-of-sample Mean Absolute Error (MAE) of 81.35 cycles and an R2 accuracy of 78.52% on 24 strictly hidden test batteries. Furthermore, comparative empirical benchmarking proved that our architecture outperforms conventional linear regression (152.90 MAE) while achieving predictive accuracy comparable to Random Forest (80.18 MAE) and XGBoost (82.53 MAE) at a fraction of the hardware cost.</w:t>
      </w:r>
    </w:p>
    <w:p>
      <w:r>
        <w:t>Crucially, profiling on simulated automotive ARM Cortex microcontrollers confirmed that the LightGBM model executes an end-to-end inference loop in exactly 0.95 ms—47x faster than recurrent LSTM architectures (~45 ms)—while requiring only 809 KB of compiled flash memory. This ensures seamless integration into standard 1 MB automotive Electronic Control Units (ECUs) without interfering with real-time vehicle control operations. Moreover, split-conformal prediction successfully established calibrated, distribution-free uncertainty safety brackets of +/-122 cycles with an empirical validation coverage of 90.4%, providing vehicle controllers with guaranteed worst-case lower bounds for proactive maintenance triggering.</w:t>
      </w:r>
    </w:p>
    <w:p>
      <w:r>
        <w:t>Finally, our data-driven feature importance ranking—which identified internal resistance (IR) as the dominant split variable (&gt;35% contribution)—was mathematically corroborated via first-order Equivalent Circuit Model (ECM) transfer function analysis. Continuous monitoring of complex s-plane dynamics revealed that as cell interfacial resistance doubles across aging, the system pole migrates rightward from -0.1285 rad/s toward instability, confirming that the data-driven algorithm correctly captured fundamental electrochemistry.</w:t>
      </w:r>
    </w:p>
    <w:p>
      <w:r>
        <w:t>Future research will focus on extending this physics-informed LightGBM architecture to multi-chemistry adaptive transfer learning across silicon-anode and sodium-ion cell packs, as well as incorporating cloud-connected over-the-air (OTA) conformal calibration updates across commercial EV fleets.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