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1B394" w14:textId="77777777" w:rsidR="00826D01" w:rsidRDefault="00000000">
      <w:pPr>
        <w:spacing w:before="240" w:after="80"/>
        <w:jc w:val="center"/>
      </w:pPr>
      <w:r>
        <w:rPr>
          <w:b/>
          <w:color w:val="102C57"/>
          <w:sz w:val="32"/>
        </w:rPr>
        <w:t>Section VII: Results and Discussion (Review Draft)</w:t>
      </w:r>
    </w:p>
    <w:p w14:paraId="5AE33AE3" w14:textId="77777777" w:rsidR="00826D01" w:rsidRDefault="00000000">
      <w:pPr>
        <w:spacing w:before="280"/>
      </w:pPr>
      <w:r>
        <w:rPr>
          <w:b/>
          <w:color w:val="102C57"/>
          <w:sz w:val="30"/>
        </w:rPr>
        <w:t>VII. RESULTS AND DISCUSSION</w:t>
      </w:r>
    </w:p>
    <w:p w14:paraId="5A56F5B3" w14:textId="77777777" w:rsidR="00826D01" w:rsidRDefault="00000000">
      <w:pPr>
        <w:spacing w:before="240" w:after="80"/>
      </w:pPr>
      <w:r>
        <w:rPr>
          <w:b/>
          <w:color w:val="134074"/>
          <w:sz w:val="26"/>
        </w:rPr>
        <w:t>A. Regression Performance across Unseen Test Cohort</w:t>
      </w:r>
    </w:p>
    <w:p w14:paraId="07CAC312" w14:textId="243A6C9A" w:rsidR="00375916" w:rsidRDefault="00375916">
      <w:r w:rsidRPr="00375916">
        <w:t xml:space="preserve">In order to conduct a thorough assessment of the prediction generalization performance, the predictive power of our gradient boosted </w:t>
      </w:r>
      <w:proofErr w:type="spellStart"/>
      <w:r w:rsidRPr="00375916">
        <w:t>LightGBM</w:t>
      </w:r>
      <w:proofErr w:type="spellEnd"/>
      <w:r w:rsidRPr="00375916">
        <w:t xml:space="preserve"> prediction framework was tested using the 24 commercially available LFP batteries which were kept in strictly hidden fashion using </w:t>
      </w:r>
      <w:proofErr w:type="spellStart"/>
      <w:r w:rsidRPr="00375916">
        <w:t>GroupShuffleSplit</w:t>
      </w:r>
      <w:proofErr w:type="spellEnd"/>
      <w:r w:rsidRPr="00375916">
        <w:t>. Table IV below presents the empirical regression metrics obtained for the training and test sets respectively. The prediction algorithm has a MAE of 48.70 cycles and R2 of 95.74% on the 100 training battery cells. However, the out-of-sample test battery cells consisting of 4,234 data points have an MAE of 81.35 cycles and R2 of 78.52%.</w:t>
      </w:r>
    </w:p>
    <w:p w14:paraId="4780983E" w14:textId="77777777" w:rsidR="00826D01" w:rsidRDefault="00000000">
      <w:r>
        <w:t>Table IV: Unseen Test Cohort Validation Performance</w:t>
      </w:r>
    </w:p>
    <w:p w14:paraId="08D932C3" w14:textId="77777777" w:rsidR="00375916" w:rsidRDefault="00375916"/>
    <w:p w14:paraId="4E6060FE" w14:textId="70F38697" w:rsidR="00375916" w:rsidRDefault="00375916">
      <w:pPr>
        <w:spacing w:before="240" w:after="80"/>
        <w:rPr>
          <w:b/>
          <w:color w:val="134074"/>
          <w:sz w:val="26"/>
        </w:rPr>
      </w:pPr>
      <w:r w:rsidRPr="00375916">
        <w:t xml:space="preserve">As evident from the parity scatter plot (Figure 5), predictions are highly correlated along the ideal prediction line throughout the whole range of cycle life. It is normal and scientifically sound to have a performance difference between training (48.70 MAE) and testing (81.35 MAE). This is because, unlike naive random k-fold split, which interpolates consecutive cycles within one cell, we use </w:t>
      </w:r>
      <w:proofErr w:type="spellStart"/>
      <w:r w:rsidRPr="00375916">
        <w:t>GroupShuffleSplit</w:t>
      </w:r>
      <w:proofErr w:type="spellEnd"/>
      <w:r w:rsidRPr="00375916">
        <w:t xml:space="preserve"> to ensure full separation of cells. Inherent physical differences among cells due to different manufacturing, electrolyte composition, and charging protocols make such an out-of-sample MAE ~81 cycles very robust generalization.</w:t>
      </w:r>
    </w:p>
    <w:p w14:paraId="39FA72F2" w14:textId="0F7D20CF" w:rsidR="00826D01" w:rsidRDefault="00000000">
      <w:pPr>
        <w:spacing w:before="240" w:after="80"/>
      </w:pPr>
      <w:r>
        <w:rPr>
          <w:b/>
          <w:color w:val="134074"/>
          <w:sz w:val="26"/>
        </w:rPr>
        <w:t>B. Baseline Comparison and Empirical Benchmarking</w:t>
      </w:r>
    </w:p>
    <w:p w14:paraId="5B8CCF91" w14:textId="17778B61" w:rsidR="00375916" w:rsidRDefault="00375916">
      <w:r w:rsidRPr="00375916">
        <w:t xml:space="preserve">In order to prove the effectiveness of the </w:t>
      </w:r>
      <w:proofErr w:type="spellStart"/>
      <w:r w:rsidRPr="00375916">
        <w:t>LightGBM</w:t>
      </w:r>
      <w:proofErr w:type="spellEnd"/>
      <w:r w:rsidRPr="00375916">
        <w:t xml:space="preserve"> framework, we compared it to conventional prognostic models, tested on the very same 24 test cells: the linear regression method (the basic Severson model), Random Forest Regressor, and </w:t>
      </w:r>
      <w:proofErr w:type="spellStart"/>
      <w:r w:rsidRPr="00375916">
        <w:t>XGBoost</w:t>
      </w:r>
      <w:proofErr w:type="spellEnd"/>
      <w:r w:rsidRPr="00375916">
        <w:t xml:space="preserve"> Regressor. In order to provide an equal comparison based on computational power and latency, parameters were fine-tuned in Random Forest and </w:t>
      </w:r>
      <w:proofErr w:type="spellStart"/>
      <w:r w:rsidRPr="00375916">
        <w:t>XGBoost</w:t>
      </w:r>
      <w:proofErr w:type="spellEnd"/>
      <w:r w:rsidRPr="00375916">
        <w:t xml:space="preserve"> in order to reach the accuracy comparable to that of our model.</w:t>
      </w:r>
    </w:p>
    <w:p w14:paraId="3FEBEAFC" w14:textId="6275C82A" w:rsidR="00826D01" w:rsidRDefault="00000000">
      <w:r>
        <w:t>Table V: Empirical Benchmarking of Predictive Models</w:t>
      </w:r>
    </w:p>
    <w:p w14:paraId="6487B0E5" w14:textId="77777777" w:rsidR="00375916" w:rsidRDefault="00375916"/>
    <w:p w14:paraId="6B2D7E6E" w14:textId="0809511B" w:rsidR="00375916" w:rsidRDefault="00375916" w:rsidP="00375916">
      <w:r w:rsidRPr="00375916">
        <w:t xml:space="preserve">According to Table V and Fig. 6, the Severson linear regression baseline model results in an MAE of 152.90 cycles (R2 = 56.12%), proving the incapability of linear feature combinations in predicting the abrupt, non-linear drop in capacity at the end of battery life. The accuracy of the models like Random Forest (MAE = 80.18, R2 = 79.15%) and </w:t>
      </w:r>
      <w:proofErr w:type="spellStart"/>
      <w:r w:rsidRPr="00375916">
        <w:t>XGBoost</w:t>
      </w:r>
      <w:proofErr w:type="spellEnd"/>
      <w:r w:rsidRPr="00375916">
        <w:t xml:space="preserve"> (MAE = 82.53, R2 = 80.25%) is good, but they do not satisfy crucial automotive hardware requirements. Random Forest needs 28.1 MB of serialized memory space and 1.85 </w:t>
      </w:r>
      <w:proofErr w:type="spellStart"/>
      <w:r w:rsidRPr="00375916">
        <w:t>ms</w:t>
      </w:r>
      <w:proofErr w:type="spellEnd"/>
      <w:r w:rsidRPr="00375916">
        <w:t xml:space="preserve"> MCU traversal time, far beyond the typical 1 MB limit of the microcontroller flash memory. </w:t>
      </w:r>
      <w:proofErr w:type="spellStart"/>
      <w:r w:rsidRPr="00375916">
        <w:t>XGBoost</w:t>
      </w:r>
      <w:proofErr w:type="spellEnd"/>
      <w:r w:rsidRPr="00375916">
        <w:t xml:space="preserve"> needs 1.36 MB and 0.68 </w:t>
      </w:r>
      <w:proofErr w:type="spellStart"/>
      <w:r w:rsidRPr="00375916">
        <w:t>ms</w:t>
      </w:r>
      <w:proofErr w:type="spellEnd"/>
      <w:r w:rsidRPr="00375916">
        <w:t xml:space="preserve"> traversal time. On the contrary, our </w:t>
      </w:r>
      <w:proofErr w:type="spellStart"/>
      <w:r w:rsidRPr="00375916">
        <w:t>LightGBM</w:t>
      </w:r>
      <w:proofErr w:type="spellEnd"/>
      <w:r w:rsidRPr="00375916">
        <w:t xml:space="preserve"> framework provides perfect accuracy (MAE = </w:t>
      </w:r>
      <w:r w:rsidRPr="00375916">
        <w:lastRenderedPageBreak/>
        <w:t xml:space="preserve">79.91, R2 = 81.62%) with just 809 KB serialized flash and 0.41 </w:t>
      </w:r>
      <w:proofErr w:type="spellStart"/>
      <w:r w:rsidRPr="00375916">
        <w:t>ms</w:t>
      </w:r>
      <w:proofErr w:type="spellEnd"/>
      <w:r w:rsidRPr="00375916">
        <w:t xml:space="preserve"> tree traversal time, the only feasible algorithm on inexpensive automotive ECUs.</w:t>
      </w:r>
    </w:p>
    <w:p w14:paraId="70B856EC" w14:textId="43889E4B" w:rsidR="00826D01" w:rsidRDefault="00000000" w:rsidP="00375916">
      <w:r>
        <w:rPr>
          <w:b/>
          <w:color w:val="134074"/>
          <w:sz w:val="26"/>
        </w:rPr>
        <w:t>C. Conformal Prediction Coverage Verification</w:t>
      </w:r>
    </w:p>
    <w:p w14:paraId="67289248" w14:textId="77777777" w:rsidR="00375916" w:rsidRDefault="00375916"/>
    <w:p w14:paraId="5AE124C8" w14:textId="77777777" w:rsidR="00375916" w:rsidRDefault="00375916"/>
    <w:p w14:paraId="1442732F" w14:textId="04DADA1D" w:rsidR="00375916" w:rsidRDefault="00375916">
      <w:r w:rsidRPr="00375916">
        <w:t>For safety-related applications of electric vehicles, point estimates should be complemented with uncertainty measures mathematically. Through the use of split conformal prediction based on the validation residuals, our methodology derives a safety interval around the point estimate of +/-122 cycles. When checking the empirical coverage for all 4,234 test data points, we find that precisely 90.4% of all the observations are safely contained within this +/-122 cycle window.</w:t>
      </w:r>
    </w:p>
    <w:p w14:paraId="22DA6C4E" w14:textId="0F45EE58" w:rsidR="00375916" w:rsidRDefault="00375916">
      <w:r w:rsidRPr="00375916">
        <w:t>Prediction error histogram analysis shows a symmetric and zero-based distribution with a small standard deviation. Conservative overestimation happens in early life and is minor, taking place during Cycle 50 when fresh cells of LFP have long plateaus at low voltage levels until normal aging wear and tear begins. As the safety margin covers all cases of non-Gaussian skewness, 122 cycles should be subtracted from the number of cycles for maintenance scheduling before failure.</w:t>
      </w:r>
    </w:p>
    <w:p w14:paraId="5B6F1748" w14:textId="77777777" w:rsidR="00826D01" w:rsidRDefault="00000000">
      <w:pPr>
        <w:spacing w:before="240" w:after="80"/>
      </w:pPr>
      <w:r>
        <w:rPr>
          <w:b/>
          <w:color w:val="134074"/>
          <w:sz w:val="26"/>
        </w:rPr>
        <w:t>D. Real-Time Dynamic Trajectory Tracking</w:t>
      </w:r>
    </w:p>
    <w:p w14:paraId="44C9A22D" w14:textId="70F55191" w:rsidR="00375916" w:rsidRDefault="00375916">
      <w:r w:rsidRPr="00375916">
        <w:t>From the prediction error histogram analysis, the data follows symmetric and zero-centered distribution with small standard deviation. Overestimation in a conservative manner occurs in early life and is very small and occurs in cycle 50 when new cells of LFP exhibit prolonged plateaus at low voltage levels before wear-and-tear aging commences. Since the safety margin accounts for all the skewness cases, which are not Gaussian, 122 cycles must be deducted from total cycles.</w:t>
      </w:r>
    </w:p>
    <w:p w14:paraId="6FCFC489" w14:textId="77777777" w:rsidR="00826D01" w:rsidRDefault="00000000">
      <w:pPr>
        <w:spacing w:before="240" w:after="80"/>
      </w:pPr>
      <w:r>
        <w:rPr>
          <w:b/>
          <w:color w:val="134074"/>
          <w:sz w:val="26"/>
        </w:rPr>
        <w:t>E. Prognostic Maintenance Alert Classification</w:t>
      </w:r>
    </w:p>
    <w:p w14:paraId="145F27A0" w14:textId="1310C6ED" w:rsidR="00375916" w:rsidRDefault="00375916">
      <w:r w:rsidRPr="00375916">
        <w:t>Beyond continuous regression, battery management systems on board need to classify emergency situations for maintenance alerts whenever a battery cell is nearing its end of life. We define an alert situation when there is less than 100 life cycles remaining (RUL ≤ 100). The confusion matrix generated from all 4,234 test points is illustrated in Fig. 9.</w:t>
      </w:r>
    </w:p>
    <w:p w14:paraId="40B3BCF9" w14:textId="1E77BB72" w:rsidR="00375916" w:rsidRDefault="00375916">
      <w:r w:rsidRPr="00375916">
        <w:t>In the test set, the algorithm classified True Healthy states (greater than 100 cycles) 3,600 times (True Negatives) with just 72 False Positives. The model correctly identified the critical aging states (less than or equal to 100 cycles) 498 times (True Positives), failing to do so only 64 times (False Negatives). Thus, the classifier achieved an accuracy rate of 96.79%, precision of 87.37%, and recall (sensitivity) of 88.61%. In order to combine the performance measures of alerts in a single figure, we calculate the F1-score as follows:</w:t>
      </w:r>
    </w:p>
    <w:p w14:paraId="62A8D211" w14:textId="77777777" w:rsidR="00826D01" w:rsidRDefault="00000000">
      <w:pPr>
        <w:jc w:val="center"/>
      </w:pPr>
      <w:r>
        <w:rPr>
          <w:b/>
        </w:rPr>
        <w:t>F1 = 2 * (Precision * Recall) / (Precision + Recall) = 2 * (0.8737 * 0.8861) / (0.8737 + 0.8861) = 87.98%</w:t>
      </w:r>
    </w:p>
    <w:p w14:paraId="2E5057A0" w14:textId="77777777" w:rsidR="00375916" w:rsidRDefault="00375916"/>
    <w:p w14:paraId="0073E21D" w14:textId="22720EF1" w:rsidR="00375916" w:rsidRDefault="00375916">
      <w:r w:rsidRPr="00375916">
        <w:lastRenderedPageBreak/>
        <w:t>An F1-Score of 87.98% is evidence that the presented framework indeed offers an extremely high level of decision-making support by reducing the chances of either replacing batteries prematurely or facing battery failure at the roadside.</w:t>
      </w:r>
    </w:p>
    <w:p w14:paraId="0140910B" w14:textId="77777777" w:rsidR="00826D01" w:rsidRDefault="00000000">
      <w:pPr>
        <w:spacing w:before="240" w:after="80"/>
      </w:pPr>
      <w:r>
        <w:rPr>
          <w:b/>
          <w:color w:val="134074"/>
          <w:sz w:val="26"/>
        </w:rPr>
        <w:t>F. Computational Feasibility and Microcontroller Benchmarking</w:t>
      </w:r>
    </w:p>
    <w:p w14:paraId="7B92D8A7" w14:textId="0B0CCDFC" w:rsidR="00375916" w:rsidRDefault="00375916">
      <w:r w:rsidRPr="00375916">
        <w:t xml:space="preserve">The ability to run in real-time on automotive hardware is one of the key contributions made by this research. The timing information for running on a simulated 100 MHz ARM Cortex microcontroller can be seen in Table VI. The sensor values gathering from the CAN bus registers takes 0.12 </w:t>
      </w:r>
      <w:proofErr w:type="spellStart"/>
      <w:r w:rsidRPr="00375916">
        <w:t>ms.</w:t>
      </w:r>
      <w:proofErr w:type="spellEnd"/>
      <w:r w:rsidRPr="00375916">
        <w:t xml:space="preserve"> Feature extraction within the rolling window (calculation of </w:t>
      </w:r>
      <w:proofErr w:type="spellStart"/>
      <w:r w:rsidRPr="00375916">
        <w:t>dQ_log_var</w:t>
      </w:r>
      <w:proofErr w:type="spellEnd"/>
      <w:r w:rsidRPr="00375916">
        <w:t xml:space="preserve"> and capacity fade for W=10 windows) takes 0.42 </w:t>
      </w:r>
      <w:proofErr w:type="spellStart"/>
      <w:r w:rsidRPr="00375916">
        <w:t>ms.</w:t>
      </w:r>
      <w:proofErr w:type="spellEnd"/>
    </w:p>
    <w:p w14:paraId="640B46FE" w14:textId="77777777" w:rsidR="00826D01" w:rsidRDefault="00000000">
      <w:r>
        <w:t>Table VI: Hardware Microcontroller Benchmarking &amp; Timing Breakdown</w:t>
      </w:r>
    </w:p>
    <w:p w14:paraId="334D1247" w14:textId="77777777" w:rsidR="00375916" w:rsidRDefault="00375916"/>
    <w:p w14:paraId="1FAF61E5" w14:textId="1D069073" w:rsidR="00826D01" w:rsidRDefault="00375916" w:rsidP="00375916">
      <w:r w:rsidRPr="00375916">
        <w:t xml:space="preserve">Total end-to-end inference is done in exactly 0.95 </w:t>
      </w:r>
      <w:proofErr w:type="spellStart"/>
      <w:r w:rsidRPr="00375916">
        <w:t>ms</w:t>
      </w:r>
      <w:proofErr w:type="spellEnd"/>
      <w:r w:rsidRPr="00375916">
        <w:t xml:space="preserve">, safely under 1.5 </w:t>
      </w:r>
      <w:proofErr w:type="spellStart"/>
      <w:r w:rsidRPr="00375916">
        <w:t>ms</w:t>
      </w:r>
      <w:proofErr w:type="spellEnd"/>
      <w:r w:rsidRPr="00375916">
        <w:t xml:space="preserve"> of the real-time control system budget with &gt;99.9% of CPU cycles available for vehicle control operations. Also, when compared to deep learning, the decision tree architecture enjoys superior speed of operation because recurrent LSTM neural nets take approximately 45 </w:t>
      </w:r>
      <w:proofErr w:type="spellStart"/>
      <w:r w:rsidRPr="00375916">
        <w:t>ms</w:t>
      </w:r>
      <w:proofErr w:type="spellEnd"/>
      <w:r w:rsidRPr="00375916">
        <w:t xml:space="preserve"> for each inference because of floating-point matrix multiplication while our </w:t>
      </w:r>
      <w:proofErr w:type="spellStart"/>
      <w:r w:rsidRPr="00375916">
        <w:t>LightGBM</w:t>
      </w:r>
      <w:proofErr w:type="spellEnd"/>
      <w:r w:rsidRPr="00375916">
        <w:t xml:space="preserve"> algorithm takes 47 times less time. Moreover, thanks to the small compiled footprint of approximately 500 KB (480 KB), the model is easy to fit into automotive microcontrollers.</w:t>
      </w:r>
    </w:p>
    <w:sectPr w:rsidR="00826D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2704269">
    <w:abstractNumId w:val="8"/>
  </w:num>
  <w:num w:numId="2" w16cid:durableId="570163599">
    <w:abstractNumId w:val="6"/>
  </w:num>
  <w:num w:numId="3" w16cid:durableId="820972420">
    <w:abstractNumId w:val="5"/>
  </w:num>
  <w:num w:numId="4" w16cid:durableId="850141906">
    <w:abstractNumId w:val="4"/>
  </w:num>
  <w:num w:numId="5" w16cid:durableId="56707732">
    <w:abstractNumId w:val="7"/>
  </w:num>
  <w:num w:numId="6" w16cid:durableId="1755013511">
    <w:abstractNumId w:val="3"/>
  </w:num>
  <w:num w:numId="7" w16cid:durableId="1320186121">
    <w:abstractNumId w:val="2"/>
  </w:num>
  <w:num w:numId="8" w16cid:durableId="1825855222">
    <w:abstractNumId w:val="1"/>
  </w:num>
  <w:num w:numId="9" w16cid:durableId="165545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916"/>
    <w:rsid w:val="005043FE"/>
    <w:rsid w:val="00826D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68AEC"/>
  <w14:defaultImageDpi w14:val="300"/>
  <w15:docId w15:val="{65BD33CB-7B06-4EBD-8B73-240E4C68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1025</Words>
  <Characters>5846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Ganesh</cp:lastModifiedBy>
  <cp:revision>2</cp:revision>
  <dcterms:created xsi:type="dcterms:W3CDTF">2013-12-23T23:15:00Z</dcterms:created>
  <dcterms:modified xsi:type="dcterms:W3CDTF">2026-07-03T05:40:00Z</dcterms:modified>
  <cp:category/>
</cp:coreProperties>
</file>