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102C57"/>
          <w:sz w:val="34"/>
        </w:rPr>
        <w:t>Embedded Real-Time RUL Estimation for Electric Vehicle LFP Batteries Using LightGBM</w:t>
      </w:r>
    </w:p>
    <w:p>
      <w:pPr>
        <w:spacing w:after="280"/>
        <w:jc w:val="center"/>
      </w:pPr>
      <w:r>
        <w:rPr>
          <w:i/>
          <w:sz w:val="22"/>
        </w:rPr>
        <w:t>Department of Electrical and Automotive Engineering</w:t>
        <w:br/>
        <w:t>Technical Research Thesis</w:t>
      </w:r>
    </w:p>
    <w:p>
      <w:pPr>
        <w:ind w:left="576" w:right="576"/>
      </w:pPr>
      <w:r>
        <w:rPr>
          <w:b/>
          <w:sz w:val="20"/>
        </w:rPr>
        <w:t>Abstract—</w:t>
      </w:r>
      <w:r>
        <w:rPr>
          <w:i/>
          <w:sz w:val="20"/>
        </w:rPr>
        <w:t>Working with Lithium Iron Phosphate (LiFePO4 or LFP) battery packs in electric vehicles always brings up the same engineering barrier: how do you measure remaining life when the voltage stays flat? Unlike older lithium chemistries, LFP maintains a flat open-circuit voltage across roughly 80% of its usable charge. Because voltage barely changes during daily driving, classic BMS algorithms like Extended Kalman Filters constantly lose track of internal wear. In this thesis, we put together a fast, embedded tracking pipeline using LightGBM tailored specifically for low-power automotive chips. Instead of relying on static voltage checkpoints, our code extracts 8 physical indicators—most notably internal ohmic resistance and differential capacity variance—measured over a rolling 10-cycle memory window. We verified the approach using the public Stanford/MIT battery dataset, evaluating 124 commercial APR18650M1A cells cycled under 72 different fast-charging routines. To stop the AI from missing sudden capacity drops at end-of-life, the software polls the battery every 5 cycles. On our unseen validation group of 24 cells, the predictions showed an average error (MAE) of 81.35 cycles and an R2 score of 78.52%, while overall cross-validation hit 81.64%. For practical dashboard warnings, the compiled C++ logic runs in just 0.95 ms on ARM Cortex processors, provides an actionable +/-122 cycle safety buffer, and satisfies Z-domain stability rules under ISO 26262.</w:t>
      </w:r>
    </w:p>
    <w:p>
      <w:pPr>
        <w:spacing w:after="280"/>
        <w:ind w:left="576" w:right="576"/>
      </w:pPr>
      <w:r>
        <w:rPr>
          <w:b/>
          <w:sz w:val="20"/>
        </w:rPr>
        <w:t>Index Terms—</w:t>
      </w:r>
      <w:r>
        <w:rPr>
          <w:sz w:val="20"/>
        </w:rPr>
        <w:t>LFP batteries, electric vehicles, remaining useful life, LightGBM, differential capacity, embedded BMS.</w:t>
      </w:r>
    </w:p>
    <w:p>
      <w:pPr>
        <w:spacing w:before="280" w:after="120"/>
      </w:pPr>
      <w:r>
        <w:rPr>
          <w:b/>
          <w:color w:val="102C57"/>
          <w:sz w:val="30"/>
        </w:rPr>
        <w:t>I. INTRODUCTION</w:t>
      </w:r>
    </w:p>
    <w:p>
      <w:r>
        <w:t>Look at the battery specs for today's electric vehicles from BYD, Tesla, or Ford, and you'll see Lithium Iron Phosphate (LFP) almost everywhere. Automakers favor LFP over Nickel-Manganese-Cobalt (NMC) because it costs less, uses no toxic cobalt, and easily survives 2,000+ charging cycles without thermal runaway risks. But putting LFP cells into cars creates a major diagnostic issue for battery engineers: estimating how many charging cycles remain before the cell dies is remarkably hard.</w:t>
      </w:r>
    </w:p>
    <w:p>
      <w:r>
        <w:t>The difficulty comes down to basic electrochemistry. During normal charging and discharging, LFP cells move lithium ions across a two-phase equilibrium. This reaction holds the open-circuit voltage nearly horizontal between 15% and 95% State of Charge. If you hook up a multimeter to an LFP cell at cycle 150 and check it again at cycle 500, the voltage looks practically identical. Standard Battery Management Systems usually rely on Kalman filters or equivalent circuit models to track voltage drops and infer internal wear. But when forced to operate on flat LFP voltage curves, these standard formulas frequently drift out of bounds or miss degradation completely until the battery suddenly plunges toward failure around 80% State of Health.</w:t>
      </w:r>
    </w:p>
    <w:p>
      <w:r>
        <w:t>We built this project to solve that exact monitoring problem. Rather than running bulky deep learning models on heavy GPUs or relying on rough lookup tables, we designed a lightweight decision-tree tracking loop. Our work delivers four specific engineering results:</w:t>
      </w:r>
    </w:p>
    <w:p>
      <w:pPr>
        <w:pStyle w:val="ListBullet"/>
      </w:pPr>
      <w:r>
        <w:rPr>
          <w:b/>
        </w:rPr>
        <w:t xml:space="preserve">Real-Time Tracking Architecture: </w:t>
      </w:r>
      <w:r>
        <w:t>We replaced static factory estimates with an active monitoring loop that updates cycle life predictions continuously.</w:t>
      </w:r>
    </w:p>
    <w:p>
      <w:pPr>
        <w:pStyle w:val="ListBullet"/>
      </w:pPr>
      <w:r>
        <w:rPr>
          <w:b/>
        </w:rPr>
        <w:t xml:space="preserve">Electrochemical Feature Engineering: </w:t>
      </w:r>
      <w:r>
        <w:t>We extracted 8 targeted variables over a rolling 10-cycle window. Our results show internal resistance growth reveals cell aging weeks before terminal voltage changes.</w:t>
      </w:r>
    </w:p>
    <w:p>
      <w:pPr>
        <w:pStyle w:val="ListBullet"/>
      </w:pPr>
      <w:r>
        <w:rPr>
          <w:b/>
        </w:rPr>
        <w:t xml:space="preserve">Eliminating Polling Blind Spots: </w:t>
      </w:r>
      <w:r>
        <w:t>By separating the 10-cycle lookback window from a fast 5-cycle polling rate, our code catches sudden end-of-life capacity drops reliably.</w:t>
      </w:r>
    </w:p>
    <w:p>
      <w:pPr>
        <w:pStyle w:val="ListBullet"/>
      </w:pPr>
      <w:r>
        <w:rPr>
          <w:b/>
        </w:rPr>
        <w:t xml:space="preserve">Embedded C++ Feasibility: </w:t>
      </w:r>
      <w:r>
        <w:t>We verified our compiled model executes in 0.95 ms on standard ARM Cortex chips while maintaining mathematical stability inside the unit circle.</w:t>
      </w:r>
    </w:p>
    <w:p>
      <w:pPr>
        <w:spacing w:before="280" w:after="120"/>
      </w:pPr>
      <w:r>
        <w:rPr>
          <w:b/>
          <w:color w:val="102C57"/>
          <w:sz w:val="30"/>
        </w:rPr>
        <w:t>II. LITERATURE REVIEW AND TECHNICAL BACKGROUND</w:t>
      </w:r>
    </w:p>
    <w:p>
      <w:pPr>
        <w:spacing w:before="200" w:after="80"/>
      </w:pPr>
      <w:r>
        <w:rPr>
          <w:b/>
          <w:color w:val="28466E"/>
          <w:sz w:val="26"/>
        </w:rPr>
        <w:t>A. Why Kalman Filters Fail on LFP Cells</w:t>
      </w:r>
    </w:p>
    <w:p>
      <w:r>
        <w:t>For decades, engineers have managed battery packs using Equivalent Circuit Models paired with Extended Kalman Filters (EKF). If you are tracking older NMC packs, EKF works well because the voltage drops noticeably as power drains. But when you run that same Kalman filter on an LFP cell, the math falls apart. The voltage slope across the middle range is tiny—roughly 0.5 millivolts per percent charge. Because the slope is practically zero, the Kalman gain shrinks. The observer cannot separate normal voltage noise from actual internal cell damage.</w:t>
      </w:r>
    </w:p>
    <w:p>
      <w:pPr>
        <w:spacing w:before="200" w:after="80"/>
      </w:pPr>
      <w:r>
        <w:rPr>
          <w:b/>
          <w:color w:val="28466E"/>
          <w:sz w:val="26"/>
        </w:rPr>
        <w:t>B. The Problem with Deep Learning in Vehicles</w:t>
      </w:r>
    </w:p>
    <w:p>
      <w:r>
        <w:t>To get around flat voltage curves, many research teams recently turned to deep learning networks like Long Short-Term Memory (LSTM) models and Gated Recurrent Units (GRU). While neural networks can memorize complicated aging patterns on desktop computers, deploying them inside a real vehicle ECU is impractical. LSTMs require heavy matrix multiplications and large memory buffers that take around 45 milliseconds per cycle on standard automotive chips. Worse yet, neural networks function as uninterpretable black boxes, making them almost impossible to certify under ISO 26262 automotive safety rules.</w:t>
      </w:r>
    </w:p>
    <w:p>
      <w:pPr>
        <w:spacing w:before="200" w:after="80"/>
      </w:pPr>
      <w:r>
        <w:rPr>
          <w:b/>
          <w:color w:val="28466E"/>
          <w:sz w:val="26"/>
        </w:rPr>
        <w:t>C. Improving on Severson et al. (2019)</w:t>
      </w:r>
    </w:p>
    <w:p>
      <w:r>
        <w:t>Our methodology builds directly on the landmark experimental study published by Severson et al. in Nature Energy (2019). Their team made a major discovery: if you look at the variance in differential capacity curves (dQ/dV) between cycle 10 and cycle 100, you can accurately predict how many total cycles the battery will survive before failure.</w:t>
      </w:r>
    </w:p>
    <w:p>
      <w:r>
        <w:t>However, when you try to put Severson's exact formula into a real electric car, three practical hurdles emerge: (1) You must wait 100 full cycles before the software makes its first prediction; (2) It outputs only one static prediction at cycle 100 and stops running forever; and (3) Because it uses linear regression, it cannot track the steep, non-linear capacity drop that happens right before a cell dies. We adapted Severson's differential capacity concept into a rolling, non-linear LightGBM pipeline that monitors the battery continuously.</w:t>
      </w:r>
    </w:p>
    <w:p>
      <w:pPr>
        <w:spacing w:before="280" w:after="120"/>
      </w:pPr>
      <w:r>
        <w:rPr>
          <w:b/>
          <w:color w:val="102C57"/>
          <w:sz w:val="30"/>
        </w:rPr>
        <w:t>III. EXPERIMENTAL DATASET AND AGING BEHAVIOR</w:t>
      </w:r>
    </w:p>
    <w:p>
      <w:pPr>
        <w:spacing w:before="200" w:after="80"/>
      </w:pPr>
      <w:r>
        <w:rPr>
          <w:b/>
          <w:color w:val="28466E"/>
          <w:sz w:val="26"/>
        </w:rPr>
        <w:t>A. Overview of the Benchmark Dataset</w:t>
      </w:r>
    </w:p>
    <w:p>
      <w:r>
        <w:t>To ensure our software held up against real laboratory measurements, we used the public battery aging dataset released by Stanford University, MIT, and Toyota Research Institute. This dataset contains 124 commercial APR18650M1A LFP cells (1.1 Ah nominal capacity, 3.3 V) tested to failure inside temperature-controlled chambers.</w:t>
      </w:r>
    </w:p>
    <w:p>
      <w:r>
        <w:t>What makes this dataset particularly valuable is the variety of charging speeds. The laboratory subjected the cells to 72 different fast-charging multistep routines ranging from gentle 1C currents up to harsh 6C fast charging. After charging, every cell was discharged at a uniform 4C rate. Because of these varied stresses, cell lifespans varied wildly—from just 146 cycles for heavily abused batteries up to 2,236 cycles for gently handled ones. In total, our pipeline processed 22,474 continuous evaluation points.</w:t>
      </w:r>
    </w:p>
    <w:p>
      <w:pPr>
        <w:spacing w:before="200" w:after="80"/>
      </w:pPr>
      <w:r>
        <w:rPr>
          <w:b/>
          <w:color w:val="28466E"/>
          <w:sz w:val="26"/>
        </w:rPr>
        <w:t>B. Preventing Leakage with Cell-Level Splitting</w:t>
      </w:r>
    </w:p>
    <w:p>
      <w:r>
        <w:t>When reading machine learning papers on battery forecasting, you often see a common flaw: random row-wise splitting. If someone takes 20,000 cycle records and shuffles them randomly into training and test sets, rows from the exact same physical battery end up in both piles. The algorithm simply memorizes that cell's unique aging curve. To avoid this trap and evaluate true out-of-sample generalization, we split the data strictly by physical cells:</w:t>
      </w:r>
    </w:p>
    <w:p>
      <w:r>
        <w:t>• Training Set: 100 complete physical cells (~18,240 records) used solely to build the feature scaler and train the decision trees.</w:t>
        <w:br/>
        <w:t>• Hidden Test Set: 24 separate physical cells (4,234 records) kept completely isolated for validation benchmarking.</w:t>
      </w:r>
    </w:p>
    <w:p>
      <w:pPr>
        <w:spacing w:before="200" w:after="80"/>
      </w:pPr>
      <w:r>
        <w:rPr>
          <w:b/>
          <w:color w:val="28466E"/>
          <w:sz w:val="26"/>
        </w:rPr>
        <w:t>C. The End-of-Life Capacity Plunge</w:t>
      </w:r>
    </w:p>
    <w:p>
      <w:r>
        <w:t>Figure 1 displays the actual capacity fade curves across our 24 unseen test batteries. Notice how flat and predictable the capacity remains through mid-life (cycles 100 to 600). But once a cell degrades down to roughly 83% State of Health, aging speeds up rapidly. The capacity plunges downward across the 80% retirement line within just 15 to 25 cycles. This sharp drop shows why fixed mileage replacement schedules cannot guarantee driver safety.</w:t>
      </w:r>
    </w:p>
    <w:p>
      <w:pPr>
        <w:spacing w:before="160" w:after="40"/>
        <w:jc w:val="center"/>
      </w:pPr>
      <w:r>
        <w:drawing>
          <wp:inline xmlns:a="http://schemas.openxmlformats.org/drawingml/2006/main" xmlns:pic="http://schemas.openxmlformats.org/drawingml/2006/picture">
            <wp:extent cx="5303520" cy="3476098"/>
            <wp:docPr id="1" name="Picture 1"/>
            <wp:cNvGraphicFramePr>
              <a:graphicFrameLocks noChangeAspect="1"/>
            </wp:cNvGraphicFramePr>
            <a:graphic>
              <a:graphicData uri="http://schemas.openxmlformats.org/drawingml/2006/picture">
                <pic:pic>
                  <pic:nvPicPr>
                    <pic:cNvPr id="0" name="04_capacity_fade_curves.png"/>
                    <pic:cNvPicPr/>
                  </pic:nvPicPr>
                  <pic:blipFill>
                    <a:blip r:embed="rId9"/>
                    <a:stretch>
                      <a:fillRect/>
                    </a:stretch>
                  </pic:blipFill>
                  <pic:spPr>
                    <a:xfrm>
                      <a:off x="0" y="0"/>
                      <a:ext cx="5303520" cy="3476098"/>
                    </a:xfrm>
                    <a:prstGeom prst="rect"/>
                  </pic:spPr>
                </pic:pic>
              </a:graphicData>
            </a:graphic>
          </wp:inline>
        </w:drawing>
      </w:r>
    </w:p>
    <w:p>
      <w:pPr>
        <w:spacing w:after="280"/>
        <w:jc w:val="center"/>
      </w:pPr>
      <w:r>
        <w:rPr>
          <w:i/>
          <w:color w:val="505A64"/>
          <w:sz w:val="19"/>
        </w:rPr>
        <w:t>Fig. 1: Empirical capacity fade curves across 24 unseen test cells showing the flat mid-life plateau and sudden failure plunge.</w:t>
      </w:r>
    </w:p>
    <w:p>
      <w:pPr>
        <w:spacing w:before="280" w:after="120"/>
      </w:pPr>
      <w:r>
        <w:rPr>
          <w:b/>
          <w:color w:val="102C57"/>
          <w:sz w:val="30"/>
        </w:rPr>
        <w:t>IV. FEATURE ENGINEERING AND PHYSICAL INSIGHTS</w:t>
      </w:r>
    </w:p>
    <w:p>
      <w:pPr>
        <w:spacing w:before="200" w:after="80"/>
      </w:pPr>
      <w:r>
        <w:rPr>
          <w:b/>
          <w:color w:val="28466E"/>
          <w:sz w:val="26"/>
        </w:rPr>
        <w:t>A. Why Differential Capacity Matters</w:t>
      </w:r>
    </w:p>
    <w:p>
      <w:r>
        <w:t>Because terminal voltage looks flat over time, electrochemists look at differential capacity (dQ/dV plotted against voltage). The peaks on a dQ/dV curve highlight physical phase transitions inside the LFP crystal lattice. When parasitic side reactions thicken the solid electrolyte interphase (SEI) film on the anode, active lithium is lost, causing these peaks to shrink and shift.</w:t>
      </w:r>
    </w:p>
    <w:p>
      <w:pPr>
        <w:spacing w:before="200" w:after="80"/>
      </w:pPr>
      <w:r>
        <w:rPr>
          <w:b/>
          <w:color w:val="28466E"/>
          <w:sz w:val="26"/>
        </w:rPr>
        <w:t>B. Our 8 Engineered Features</w:t>
      </w:r>
    </w:p>
    <w:p>
      <w:r>
        <w:t>Every 5 cycles, our feature extraction code looks back over the previous 10 cycles (from cycle t back to t-10) and calculates 8 specific variables:</w:t>
      </w:r>
    </w:p>
    <w:tbl>
      <w:tblPr>
        <w:tblW w:type="auto" w:w="0"/>
        <w:jc w:val="center"/>
        <w:tblLook w:firstColumn="1" w:firstRow="1" w:lastColumn="0" w:lastRow="0" w:noHBand="0" w:noVBand="1" w:val="04A0"/>
      </w:tblPr>
      <w:tblGrid>
        <w:gridCol w:w="2880"/>
        <w:gridCol w:w="2880"/>
        <w:gridCol w:w="2880"/>
      </w:tblGrid>
      <w:tr>
        <w:tc>
          <w:tcPr>
            <w:tcW w:type="dxa" w:w="2880"/>
            <w:shd w:fill="102C57"/>
          </w:tcPr>
          <w:p>
            <w:r>
              <w:rPr>
                <w:b/>
                <w:color w:val="FFFFFF"/>
              </w:rPr>
              <w:t>Feature Name</w:t>
            </w:r>
          </w:p>
        </w:tc>
        <w:tc>
          <w:tcPr>
            <w:tcW w:type="dxa" w:w="2880"/>
            <w:shd w:fill="102C57"/>
          </w:tcPr>
          <w:p>
            <w:r>
              <w:rPr>
                <w:b/>
                <w:color w:val="FFFFFF"/>
              </w:rPr>
              <w:t>Mathematical Formula</w:t>
            </w:r>
          </w:p>
        </w:tc>
        <w:tc>
          <w:tcPr>
            <w:tcW w:type="dxa" w:w="2880"/>
            <w:shd w:fill="102C57"/>
          </w:tcPr>
          <w:p>
            <w:r>
              <w:rPr>
                <w:b/>
                <w:color w:val="FFFFFF"/>
              </w:rPr>
              <w:t>Physical Significance &amp; Meaning</w:t>
            </w:r>
          </w:p>
        </w:tc>
      </w:tr>
      <w:tr>
        <w:tc>
          <w:tcPr>
            <w:tcW w:type="dxa" w:w="2880"/>
            <w:shd w:fill="F5F7FA"/>
            <w:tcMar>
              <w:top w:w="80" w:type="dxa"/>
              <w:bottom w:w="80" w:type="dxa"/>
              <w:left w:w="100" w:type="dxa"/>
              <w:right w:w="100" w:type="dxa"/>
            </w:tcMar>
          </w:tcPr>
          <w:p>
            <w:r>
              <w:rPr>
                <w:b/>
              </w:rPr>
              <w:t>cycle</w:t>
            </w:r>
          </w:p>
        </w:tc>
        <w:tc>
          <w:tcPr>
            <w:tcW w:type="dxa" w:w="2880"/>
            <w:shd w:fill="F5F7FA"/>
            <w:tcMar>
              <w:top w:w="80" w:type="dxa"/>
              <w:bottom w:w="80" w:type="dxa"/>
              <w:left w:w="100" w:type="dxa"/>
              <w:right w:w="100" w:type="dxa"/>
            </w:tcMar>
          </w:tcPr>
          <w:p>
            <w:r>
              <w:t>t</w:t>
            </w:r>
          </w:p>
        </w:tc>
        <w:tc>
          <w:tcPr>
            <w:tcW w:type="dxa" w:w="2880"/>
            <w:shd w:fill="F5F7FA"/>
            <w:tcMar>
              <w:top w:w="80" w:type="dxa"/>
              <w:bottom w:w="80" w:type="dxa"/>
              <w:left w:w="100" w:type="dxa"/>
              <w:right w:w="100" w:type="dxa"/>
            </w:tcMar>
          </w:tcPr>
          <w:p>
            <w:r>
              <w:t>Current operating cycle counter serving as the vehicle baseline age.</w:t>
            </w:r>
          </w:p>
        </w:tc>
      </w:tr>
      <w:tr>
        <w:tc>
          <w:tcPr>
            <w:tcW w:type="dxa" w:w="2880"/>
            <w:shd w:fill="FFFFFF"/>
            <w:tcMar>
              <w:top w:w="80" w:type="dxa"/>
              <w:bottom w:w="80" w:type="dxa"/>
              <w:left w:w="100" w:type="dxa"/>
              <w:right w:w="100" w:type="dxa"/>
            </w:tcMar>
          </w:tcPr>
          <w:p>
            <w:r>
              <w:rPr>
                <w:b/>
              </w:rPr>
              <w:t>IR</w:t>
            </w:r>
          </w:p>
        </w:tc>
        <w:tc>
          <w:tcPr>
            <w:tcW w:type="dxa" w:w="2880"/>
            <w:shd w:fill="FFFFFF"/>
            <w:tcMar>
              <w:top w:w="80" w:type="dxa"/>
              <w:bottom w:w="80" w:type="dxa"/>
              <w:left w:w="100" w:type="dxa"/>
              <w:right w:w="100" w:type="dxa"/>
            </w:tcMar>
          </w:tcPr>
          <w:p>
            <w:r>
              <w:t>R(t) = delta_V / delta_I</w:t>
            </w:r>
          </w:p>
        </w:tc>
        <w:tc>
          <w:tcPr>
            <w:tcW w:type="dxa" w:w="2880"/>
            <w:shd w:fill="FFFFFF"/>
            <w:tcMar>
              <w:top w:w="80" w:type="dxa"/>
              <w:bottom w:w="80" w:type="dxa"/>
              <w:left w:w="100" w:type="dxa"/>
              <w:right w:w="100" w:type="dxa"/>
            </w:tcMar>
          </w:tcPr>
          <w:p>
            <w:r>
              <w:t>Ranked #1 predictive signal. Directly tracks internal resistance growth from SEI layer thickening.</w:t>
            </w:r>
          </w:p>
        </w:tc>
      </w:tr>
      <w:tr>
        <w:tc>
          <w:tcPr>
            <w:tcW w:type="dxa" w:w="2880"/>
            <w:shd w:fill="F5F7FA"/>
            <w:tcMar>
              <w:top w:w="80" w:type="dxa"/>
              <w:bottom w:w="80" w:type="dxa"/>
              <w:left w:w="100" w:type="dxa"/>
              <w:right w:w="100" w:type="dxa"/>
            </w:tcMar>
          </w:tcPr>
          <w:p>
            <w:r>
              <w:rPr>
                <w:b/>
              </w:rPr>
              <w:t>Tavg</w:t>
            </w:r>
          </w:p>
        </w:tc>
        <w:tc>
          <w:tcPr>
            <w:tcW w:type="dxa" w:w="2880"/>
            <w:shd w:fill="F5F7FA"/>
            <w:tcMar>
              <w:top w:w="80" w:type="dxa"/>
              <w:bottom w:w="80" w:type="dxa"/>
              <w:left w:w="100" w:type="dxa"/>
              <w:right w:w="100" w:type="dxa"/>
            </w:tcMar>
          </w:tcPr>
          <w:p>
            <w:r>
              <w:t>T_avg = mean(T_i)</w:t>
            </w:r>
          </w:p>
        </w:tc>
        <w:tc>
          <w:tcPr>
            <w:tcW w:type="dxa" w:w="2880"/>
            <w:shd w:fill="F5F7FA"/>
            <w:tcMar>
              <w:top w:w="80" w:type="dxa"/>
              <w:bottom w:w="80" w:type="dxa"/>
              <w:left w:w="100" w:type="dxa"/>
              <w:right w:w="100" w:type="dxa"/>
            </w:tcMar>
          </w:tcPr>
          <w:p>
            <w:r>
              <w:t>Average cell temperature during cycling; drives chemical reactions and thermal aging.</w:t>
            </w:r>
          </w:p>
        </w:tc>
      </w:tr>
      <w:tr>
        <w:tc>
          <w:tcPr>
            <w:tcW w:type="dxa" w:w="2880"/>
            <w:shd w:fill="FFFFFF"/>
            <w:tcMar>
              <w:top w:w="80" w:type="dxa"/>
              <w:bottom w:w="80" w:type="dxa"/>
              <w:left w:w="100" w:type="dxa"/>
              <w:right w:w="100" w:type="dxa"/>
            </w:tcMar>
          </w:tcPr>
          <w:p>
            <w:r>
              <w:rPr>
                <w:b/>
              </w:rPr>
              <w:t>SOH</w:t>
            </w:r>
          </w:p>
        </w:tc>
        <w:tc>
          <w:tcPr>
            <w:tcW w:type="dxa" w:w="2880"/>
            <w:shd w:fill="FFFFFF"/>
            <w:tcMar>
              <w:top w:w="80" w:type="dxa"/>
              <w:bottom w:w="80" w:type="dxa"/>
              <w:left w:w="100" w:type="dxa"/>
              <w:right w:w="100" w:type="dxa"/>
            </w:tcMar>
          </w:tcPr>
          <w:p>
            <w:r>
              <w:t>SOH(t) = Q(t) / Q_nominal</w:t>
            </w:r>
          </w:p>
        </w:tc>
        <w:tc>
          <w:tcPr>
            <w:tcW w:type="dxa" w:w="2880"/>
            <w:shd w:fill="FFFFFF"/>
            <w:tcMar>
              <w:top w:w="80" w:type="dxa"/>
              <w:bottom w:w="80" w:type="dxa"/>
              <w:left w:w="100" w:type="dxa"/>
              <w:right w:w="100" w:type="dxa"/>
            </w:tcMar>
          </w:tcPr>
          <w:p>
            <w:r>
              <w:t>Normalized capacity ratio showing macro-level energy capability.</w:t>
            </w:r>
          </w:p>
        </w:tc>
      </w:tr>
      <w:tr>
        <w:tc>
          <w:tcPr>
            <w:tcW w:type="dxa" w:w="2880"/>
            <w:shd w:fill="F5F7FA"/>
            <w:tcMar>
              <w:top w:w="80" w:type="dxa"/>
              <w:bottom w:w="80" w:type="dxa"/>
              <w:left w:w="100" w:type="dxa"/>
              <w:right w:w="100" w:type="dxa"/>
            </w:tcMar>
          </w:tcPr>
          <w:p>
            <w:r>
              <w:rPr>
                <w:b/>
              </w:rPr>
              <w:t>dQ_min</w:t>
            </w:r>
          </w:p>
        </w:tc>
        <w:tc>
          <w:tcPr>
            <w:tcW w:type="dxa" w:w="2880"/>
            <w:shd w:fill="F5F7FA"/>
            <w:tcMar>
              <w:top w:w="80" w:type="dxa"/>
              <w:bottom w:w="80" w:type="dxa"/>
              <w:left w:w="100" w:type="dxa"/>
              <w:right w:w="100" w:type="dxa"/>
            </w:tcMar>
          </w:tcPr>
          <w:p>
            <w:r>
              <w:t>min( dQ / dV )</w:t>
            </w:r>
          </w:p>
        </w:tc>
        <w:tc>
          <w:tcPr>
            <w:tcW w:type="dxa" w:w="2880"/>
            <w:shd w:fill="F5F7FA"/>
            <w:tcMar>
              <w:top w:w="80" w:type="dxa"/>
              <w:bottom w:w="80" w:type="dxa"/>
              <w:left w:w="100" w:type="dxa"/>
              <w:right w:w="100" w:type="dxa"/>
            </w:tcMar>
          </w:tcPr>
          <w:p>
            <w:r>
              <w:t>Lowest trough point on the differential capacity curve; highlights cathode loss.</w:t>
            </w:r>
          </w:p>
        </w:tc>
      </w:tr>
      <w:tr>
        <w:tc>
          <w:tcPr>
            <w:tcW w:type="dxa" w:w="2880"/>
            <w:shd w:fill="FFFFFF"/>
            <w:tcMar>
              <w:top w:w="80" w:type="dxa"/>
              <w:bottom w:w="80" w:type="dxa"/>
              <w:left w:w="100" w:type="dxa"/>
              <w:right w:w="100" w:type="dxa"/>
            </w:tcMar>
          </w:tcPr>
          <w:p>
            <w:r>
              <w:rPr>
                <w:b/>
              </w:rPr>
              <w:t>dQ_mean</w:t>
            </w:r>
          </w:p>
        </w:tc>
        <w:tc>
          <w:tcPr>
            <w:tcW w:type="dxa" w:w="2880"/>
            <w:shd w:fill="FFFFFF"/>
            <w:tcMar>
              <w:top w:w="80" w:type="dxa"/>
              <w:bottom w:w="80" w:type="dxa"/>
              <w:left w:w="100" w:type="dxa"/>
              <w:right w:w="100" w:type="dxa"/>
            </w:tcMar>
          </w:tcPr>
          <w:p>
            <w:r>
              <w:t>mean( dQ / dV )</w:t>
            </w:r>
          </w:p>
        </w:tc>
        <w:tc>
          <w:tcPr>
            <w:tcW w:type="dxa" w:w="2880"/>
            <w:shd w:fill="FFFFFF"/>
            <w:tcMar>
              <w:top w:w="80" w:type="dxa"/>
              <w:bottom w:w="80" w:type="dxa"/>
              <w:left w:w="100" w:type="dxa"/>
              <w:right w:w="100" w:type="dxa"/>
            </w:tcMar>
          </w:tcPr>
          <w:p>
            <w:r>
              <w:t>Average differential capacity across the voltage plateau.</w:t>
            </w:r>
          </w:p>
        </w:tc>
      </w:tr>
      <w:tr>
        <w:tc>
          <w:tcPr>
            <w:tcW w:type="dxa" w:w="2880"/>
            <w:shd w:fill="F5F7FA"/>
            <w:tcMar>
              <w:top w:w="80" w:type="dxa"/>
              <w:bottom w:w="80" w:type="dxa"/>
              <w:left w:w="100" w:type="dxa"/>
              <w:right w:w="100" w:type="dxa"/>
            </w:tcMar>
          </w:tcPr>
          <w:p>
            <w:r>
              <w:rPr>
                <w:b/>
              </w:rPr>
              <w:t>dQ_log_var</w:t>
            </w:r>
          </w:p>
        </w:tc>
        <w:tc>
          <w:tcPr>
            <w:tcW w:type="dxa" w:w="2880"/>
            <w:shd w:fill="F5F7FA"/>
            <w:tcMar>
              <w:top w:w="80" w:type="dxa"/>
              <w:bottom w:w="80" w:type="dxa"/>
              <w:left w:w="100" w:type="dxa"/>
              <w:right w:w="100" w:type="dxa"/>
            </w:tcMar>
          </w:tcPr>
          <w:p>
            <w:r>
              <w:t>log10( var( Q_t - Q_{t-10} ) )</w:t>
            </w:r>
          </w:p>
        </w:tc>
        <w:tc>
          <w:tcPr>
            <w:tcW w:type="dxa" w:w="2880"/>
            <w:shd w:fill="F5F7FA"/>
            <w:tcMar>
              <w:top w:w="80" w:type="dxa"/>
              <w:bottom w:w="80" w:type="dxa"/>
              <w:left w:w="100" w:type="dxa"/>
              <w:right w:w="100" w:type="dxa"/>
            </w:tcMar>
          </w:tcPr>
          <w:p>
            <w:r>
              <w:t>Adapted from Severson et al. Quantifies logarithmic waveform distortion over 10 cycles.</w:t>
            </w:r>
          </w:p>
        </w:tc>
      </w:tr>
      <w:tr>
        <w:tc>
          <w:tcPr>
            <w:tcW w:type="dxa" w:w="2880"/>
            <w:shd w:fill="FFFFFF"/>
            <w:tcMar>
              <w:top w:w="80" w:type="dxa"/>
              <w:bottom w:w="80" w:type="dxa"/>
              <w:left w:w="100" w:type="dxa"/>
              <w:right w:w="100" w:type="dxa"/>
            </w:tcMar>
          </w:tcPr>
          <w:p>
            <w:r>
              <w:rPr>
                <w:b/>
              </w:rPr>
              <w:t>capacity_fade_window</w:t>
            </w:r>
          </w:p>
        </w:tc>
        <w:tc>
          <w:tcPr>
            <w:tcW w:type="dxa" w:w="2880"/>
            <w:shd w:fill="FFFFFF"/>
            <w:tcMar>
              <w:top w:w="80" w:type="dxa"/>
              <w:bottom w:w="80" w:type="dxa"/>
              <w:left w:w="100" w:type="dxa"/>
              <w:right w:w="100" w:type="dxa"/>
            </w:tcMar>
          </w:tcPr>
          <w:p>
            <w:r>
              <w:t>SOH(t) - SOH(t-10)</w:t>
            </w:r>
          </w:p>
        </w:tc>
        <w:tc>
          <w:tcPr>
            <w:tcW w:type="dxa" w:w="2880"/>
            <w:shd w:fill="FFFFFF"/>
            <w:tcMar>
              <w:top w:w="80" w:type="dxa"/>
              <w:bottom w:w="80" w:type="dxa"/>
              <w:left w:w="100" w:type="dxa"/>
              <w:right w:w="100" w:type="dxa"/>
            </w:tcMar>
          </w:tcPr>
          <w:p>
            <w:r>
              <w:t>Local slope showing how fast capacity dropped across the last 10 cycles.</w:t>
            </w:r>
          </w:p>
        </w:tc>
      </w:tr>
    </w:tbl>
    <w:p/>
    <w:p>
      <w:pPr>
        <w:spacing w:before="200" w:after="80"/>
      </w:pPr>
      <w:r>
        <w:rPr>
          <w:b/>
          <w:color w:val="28466E"/>
          <w:sz w:val="26"/>
        </w:rPr>
        <w:t>C. Why Internal Resistance Ranks First</w:t>
      </w:r>
    </w:p>
    <w:p>
      <w:r>
        <w:t>Figure 2 shows the feature importance scores generated across all 300 LightGBM decision trees. When we ran this analysis, the result was striking: Internal Resistance (IR) completely dominated the decision trees (~2,000 splits), ranking far above standard State of Health.</w:t>
      </w:r>
    </w:p>
    <w:p>
      <w:r>
        <w:t>Physically, this makes complete sense. While external capacity stays deceptively steady during mid-life driving (dropping slowly from 98% down to 94%), microscopic SEI layer growth causes internal ohmic resistance to climb steadily right from cycle one. LightGBM naturally picked IR as its main root splitting feature because internal resistance reveals hidden wear long before capacity fade becomes visible on the outside.</w:t>
      </w:r>
    </w:p>
    <w:p>
      <w:pPr>
        <w:spacing w:before="160" w:after="40"/>
        <w:jc w:val="center"/>
      </w:pPr>
      <w:r>
        <w:drawing>
          <wp:inline xmlns:a="http://schemas.openxmlformats.org/drawingml/2006/main" xmlns:pic="http://schemas.openxmlformats.org/drawingml/2006/picture">
            <wp:extent cx="5303520" cy="2993076"/>
            <wp:docPr id="2" name="Picture 2"/>
            <wp:cNvGraphicFramePr>
              <a:graphicFrameLocks noChangeAspect="1"/>
            </wp:cNvGraphicFramePr>
            <a:graphic>
              <a:graphicData uri="http://schemas.openxmlformats.org/drawingml/2006/picture">
                <pic:pic>
                  <pic:nvPicPr>
                    <pic:cNvPr id="0" name="02_feature_importance.png"/>
                    <pic:cNvPicPr/>
                  </pic:nvPicPr>
                  <pic:blipFill>
                    <a:blip r:embed="rId10"/>
                    <a:stretch>
                      <a:fillRect/>
                    </a:stretch>
                  </pic:blipFill>
                  <pic:spPr>
                    <a:xfrm>
                      <a:off x="0" y="0"/>
                      <a:ext cx="5303520" cy="2993076"/>
                    </a:xfrm>
                    <a:prstGeom prst="rect"/>
                  </pic:spPr>
                </pic:pic>
              </a:graphicData>
            </a:graphic>
          </wp:inline>
        </w:drawing>
      </w:r>
    </w:p>
    <w:p>
      <w:pPr>
        <w:spacing w:after="280"/>
        <w:jc w:val="center"/>
      </w:pPr>
      <w:r>
        <w:rPr>
          <w:i/>
          <w:color w:val="505A64"/>
          <w:sz w:val="19"/>
        </w:rPr>
        <w:t>Fig. 2: Feature importance breakdown confirming Internal Resistance (IR) as the dominant predictive variable.</w:t>
      </w:r>
    </w:p>
    <w:p>
      <w:pPr>
        <w:spacing w:before="280" w:after="120"/>
      </w:pPr>
      <w:r>
        <w:rPr>
          <w:b/>
          <w:color w:val="102C57"/>
          <w:sz w:val="30"/>
        </w:rPr>
        <w:t>V. ARCHITECTURAL TUNING AND TIMING ANALYSIS</w:t>
      </w:r>
    </w:p>
    <w:p>
      <w:pPr>
        <w:spacing w:before="200" w:after="80"/>
      </w:pPr>
      <w:r>
        <w:rPr>
          <w:b/>
          <w:color w:val="28466E"/>
          <w:sz w:val="26"/>
        </w:rPr>
        <w:t>A. Why LightGBM Fits Battery Data</w:t>
      </w:r>
    </w:p>
    <w:p>
      <w:r>
        <w:t>We selected LightGBM because it builds decision trees leaf-wise rather than level-wise. At each step, it chooses the leaf node that reduces overall error the most. For tabular sensor datasets, this approach finds non-linear degradation boundaries faster than traditional gradient boosting while keeping memory usage extremely low.</w:t>
      </w:r>
    </w:p>
    <w:p>
      <w:pPr>
        <w:spacing w:before="200" w:after="80"/>
      </w:pPr>
      <w:r>
        <w:rPr>
          <w:b/>
          <w:color w:val="28466E"/>
          <w:sz w:val="26"/>
        </w:rPr>
        <w:t>B. Separating Lookback Memory from Polling Rate</w:t>
      </w:r>
    </w:p>
    <w:p>
      <w:r>
        <w:t>A practical innovation in our software design was decoupling the Lookback Window (W) from the Polling Interval (delta_t):</w:t>
        <w:br/>
        <w:t>• Lookback Window (W = 10): How far back in cycle history the feature extractor looks to calculate slope and variance.</w:t>
        <w:br/>
        <w:t>• Polling Interval (delta_t = 5): How often the onboard controller runs AI inference.</w:t>
      </w:r>
    </w:p>
    <w:p>
      <w:pPr>
        <w:spacing w:before="200" w:after="80"/>
      </w:pPr>
      <w:r>
        <w:rPr>
          <w:b/>
          <w:color w:val="28466E"/>
          <w:sz w:val="26"/>
        </w:rPr>
        <w:t>C. Choosing the Right Lookback Window</w:t>
      </w:r>
    </w:p>
    <w:p>
      <w:r>
        <w:t>Table II shows our benchmarking results across lookback windows spanning from 5 to 50 cycles.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02C57"/>
          </w:tcPr>
          <w:p>
            <w:r>
              <w:rPr>
                <w:b/>
                <w:color w:val="FFFFFF"/>
              </w:rPr>
              <w:t>Lookback Window (W)</w:t>
            </w:r>
          </w:p>
        </w:tc>
        <w:tc>
          <w:tcPr>
            <w:tcW w:type="dxa" w:w="1728"/>
            <w:shd w:fill="102C57"/>
          </w:tcPr>
          <w:p>
            <w:r>
              <w:rPr>
                <w:b/>
                <w:color w:val="FFFFFF"/>
              </w:rPr>
              <w:t>MAE (Cycles)</w:t>
            </w:r>
          </w:p>
        </w:tc>
        <w:tc>
          <w:tcPr>
            <w:tcW w:type="dxa" w:w="1728"/>
            <w:shd w:fill="102C57"/>
          </w:tcPr>
          <w:p>
            <w:r>
              <w:rPr>
                <w:b/>
                <w:color w:val="FFFFFF"/>
              </w:rPr>
              <w:t>Std Dev (sigma)</w:t>
            </w:r>
          </w:p>
        </w:tc>
        <w:tc>
          <w:tcPr>
            <w:tcW w:type="dxa" w:w="1728"/>
            <w:shd w:fill="102C57"/>
          </w:tcPr>
          <w:p>
            <w:r>
              <w:rPr>
                <w:b/>
                <w:color w:val="FFFFFF"/>
              </w:rPr>
              <w:t>R2 Score</w:t>
            </w:r>
          </w:p>
        </w:tc>
        <w:tc>
          <w:tcPr>
            <w:tcW w:type="dxa" w:w="1728"/>
            <w:shd w:fill="102C57"/>
          </w:tcPr>
          <w:p>
            <w:r>
              <w:rPr>
                <w:b/>
                <w:color w:val="FFFFFF"/>
              </w:rPr>
              <w:t>Practical Safety Bracket</w:t>
            </w:r>
          </w:p>
        </w:tc>
      </w:tr>
      <w:tr>
        <w:tc>
          <w:tcPr>
            <w:tcW w:type="dxa" w:w="1728"/>
            <w:shd w:fill="F5F7FA"/>
            <w:tcMar>
              <w:top w:w="80" w:type="dxa"/>
              <w:bottom w:w="80" w:type="dxa"/>
              <w:left w:w="100" w:type="dxa"/>
              <w:right w:w="100" w:type="dxa"/>
            </w:tcMar>
          </w:tcPr>
          <w:p>
            <w:r>
              <w:rPr>
                <w:b/>
              </w:rPr>
              <w:t>W = 5 Cycles</w:t>
            </w:r>
          </w:p>
        </w:tc>
        <w:tc>
          <w:tcPr>
            <w:tcW w:type="dxa" w:w="1728"/>
            <w:shd w:fill="F5F7FA"/>
            <w:tcMar>
              <w:top w:w="80" w:type="dxa"/>
              <w:bottom w:w="80" w:type="dxa"/>
              <w:left w:w="100" w:type="dxa"/>
              <w:right w:w="100" w:type="dxa"/>
            </w:tcMar>
          </w:tcPr>
          <w:p>
            <w:r>
              <w:t>82.10</w:t>
            </w:r>
          </w:p>
        </w:tc>
        <w:tc>
          <w:tcPr>
            <w:tcW w:type="dxa" w:w="1728"/>
            <w:shd w:fill="F5F7FA"/>
            <w:tcMar>
              <w:top w:w="80" w:type="dxa"/>
              <w:bottom w:w="80" w:type="dxa"/>
              <w:left w:w="100" w:type="dxa"/>
              <w:right w:w="100" w:type="dxa"/>
            </w:tcMar>
          </w:tcPr>
          <w:p>
            <w:r>
              <w:t>101.45</w:t>
            </w:r>
          </w:p>
        </w:tc>
        <w:tc>
          <w:tcPr>
            <w:tcW w:type="dxa" w:w="1728"/>
            <w:shd w:fill="F5F7FA"/>
            <w:tcMar>
              <w:top w:w="80" w:type="dxa"/>
              <w:bottom w:w="80" w:type="dxa"/>
              <w:left w:w="100" w:type="dxa"/>
              <w:right w:w="100" w:type="dxa"/>
            </w:tcMar>
          </w:tcPr>
          <w:p>
            <w:r>
              <w:t>78.12%</w:t>
            </w:r>
          </w:p>
        </w:tc>
        <w:tc>
          <w:tcPr>
            <w:tcW w:type="dxa" w:w="1728"/>
            <w:shd w:fill="F5F7FA"/>
            <w:tcMar>
              <w:top w:w="80" w:type="dxa"/>
              <w:bottom w:w="80" w:type="dxa"/>
              <w:left w:w="100" w:type="dxa"/>
              <w:right w:w="100" w:type="dxa"/>
            </w:tcMar>
          </w:tcPr>
          <w:p>
            <w:r>
              <w:t>+/-124 Cycles (Too sensitive to daily sensor noise)</w:t>
            </w:r>
          </w:p>
        </w:tc>
      </w:tr>
      <w:tr>
        <w:tc>
          <w:tcPr>
            <w:tcW w:type="dxa" w:w="1728"/>
            <w:shd w:fill="E8F5E9"/>
            <w:tcMar>
              <w:top w:w="80" w:type="dxa"/>
              <w:bottom w:w="80" w:type="dxa"/>
              <w:left w:w="100" w:type="dxa"/>
              <w:right w:w="100" w:type="dxa"/>
            </w:tcMar>
          </w:tcPr>
          <w:p>
            <w:r>
              <w:rPr>
                <w:b/>
              </w:rPr>
              <w:t>W = 10 Cycles (Selected)</w:t>
            </w:r>
          </w:p>
        </w:tc>
        <w:tc>
          <w:tcPr>
            <w:tcW w:type="dxa" w:w="1728"/>
            <w:shd w:fill="E8F5E9"/>
            <w:tcMar>
              <w:top w:w="80" w:type="dxa"/>
              <w:bottom w:w="80" w:type="dxa"/>
              <w:left w:w="100" w:type="dxa"/>
              <w:right w:w="100" w:type="dxa"/>
            </w:tcMar>
          </w:tcPr>
          <w:p>
            <w:r>
              <w:rPr>
                <w:b/>
              </w:rPr>
              <w:t>81.35</w:t>
            </w:r>
          </w:p>
        </w:tc>
        <w:tc>
          <w:tcPr>
            <w:tcW w:type="dxa" w:w="1728"/>
            <w:shd w:fill="E8F5E9"/>
            <w:tcMar>
              <w:top w:w="80" w:type="dxa"/>
              <w:bottom w:w="80" w:type="dxa"/>
              <w:left w:w="100" w:type="dxa"/>
              <w:right w:w="100" w:type="dxa"/>
            </w:tcMar>
          </w:tcPr>
          <w:p>
            <w:r>
              <w:rPr>
                <w:b/>
              </w:rPr>
              <w:t>99.35</w:t>
            </w:r>
          </w:p>
        </w:tc>
        <w:tc>
          <w:tcPr>
            <w:tcW w:type="dxa" w:w="1728"/>
            <w:shd w:fill="E8F5E9"/>
            <w:tcMar>
              <w:top w:w="80" w:type="dxa"/>
              <w:bottom w:w="80" w:type="dxa"/>
              <w:left w:w="100" w:type="dxa"/>
              <w:right w:w="100" w:type="dxa"/>
            </w:tcMar>
          </w:tcPr>
          <w:p>
            <w:r>
              <w:rPr>
                <w:b/>
              </w:rPr>
              <w:t>78.52%</w:t>
            </w:r>
          </w:p>
        </w:tc>
        <w:tc>
          <w:tcPr>
            <w:tcW w:type="dxa" w:w="1728"/>
            <w:shd w:fill="E8F5E9"/>
            <w:tcMar>
              <w:top w:w="80" w:type="dxa"/>
              <w:bottom w:w="80" w:type="dxa"/>
              <w:left w:w="100" w:type="dxa"/>
              <w:right w:w="100" w:type="dxa"/>
            </w:tcMar>
          </w:tcPr>
          <w:p>
            <w:r>
              <w:rPr>
                <w:b/>
              </w:rPr>
              <w:t>+/-122 Cycles (Best balance of stability &amp; fast start)</w:t>
            </w:r>
          </w:p>
        </w:tc>
      </w:tr>
      <w:tr>
        <w:tc>
          <w:tcPr>
            <w:tcW w:type="dxa" w:w="1728"/>
            <w:shd w:fill="F5F7FA"/>
            <w:tcMar>
              <w:top w:w="80" w:type="dxa"/>
              <w:bottom w:w="80" w:type="dxa"/>
              <w:left w:w="100" w:type="dxa"/>
              <w:right w:w="100" w:type="dxa"/>
            </w:tcMar>
          </w:tcPr>
          <w:p>
            <w:r>
              <w:rPr>
                <w:b/>
              </w:rPr>
              <w:t>W = 15 Cycles</w:t>
            </w:r>
          </w:p>
        </w:tc>
        <w:tc>
          <w:tcPr>
            <w:tcW w:type="dxa" w:w="1728"/>
            <w:shd w:fill="F5F7FA"/>
            <w:tcMar>
              <w:top w:w="80" w:type="dxa"/>
              <w:bottom w:w="80" w:type="dxa"/>
              <w:left w:w="100" w:type="dxa"/>
              <w:right w:w="100" w:type="dxa"/>
            </w:tcMar>
          </w:tcPr>
          <w:p>
            <w:r>
              <w:t>81.12</w:t>
            </w:r>
          </w:p>
        </w:tc>
        <w:tc>
          <w:tcPr>
            <w:tcW w:type="dxa" w:w="1728"/>
            <w:shd w:fill="F5F7FA"/>
            <w:tcMar>
              <w:top w:w="80" w:type="dxa"/>
              <w:bottom w:w="80" w:type="dxa"/>
              <w:left w:w="100" w:type="dxa"/>
              <w:right w:w="100" w:type="dxa"/>
            </w:tcMar>
          </w:tcPr>
          <w:p>
            <w:r>
              <w:t>98.90</w:t>
            </w:r>
          </w:p>
        </w:tc>
        <w:tc>
          <w:tcPr>
            <w:tcW w:type="dxa" w:w="1728"/>
            <w:shd w:fill="F5F7FA"/>
            <w:tcMar>
              <w:top w:w="80" w:type="dxa"/>
              <w:bottom w:w="80" w:type="dxa"/>
              <w:left w:w="100" w:type="dxa"/>
              <w:right w:w="100" w:type="dxa"/>
            </w:tcMar>
          </w:tcPr>
          <w:p>
            <w:r>
              <w:t>78.91%</w:t>
            </w:r>
          </w:p>
        </w:tc>
        <w:tc>
          <w:tcPr>
            <w:tcW w:type="dxa" w:w="1728"/>
            <w:shd w:fill="F5F7FA"/>
            <w:tcMar>
              <w:top w:w="80" w:type="dxa"/>
              <w:bottom w:w="80" w:type="dxa"/>
              <w:left w:w="100" w:type="dxa"/>
              <w:right w:w="100" w:type="dxa"/>
            </w:tcMar>
          </w:tcPr>
          <w:p>
            <w:r>
              <w:t>+/-121 Cycles (Slight lag tracking steep drop)</w:t>
            </w:r>
          </w:p>
        </w:tc>
      </w:tr>
      <w:tr>
        <w:tc>
          <w:tcPr>
            <w:tcW w:type="dxa" w:w="1728"/>
            <w:shd w:fill="FFFFFF"/>
            <w:tcMar>
              <w:top w:w="80" w:type="dxa"/>
              <w:bottom w:w="80" w:type="dxa"/>
              <w:left w:w="100" w:type="dxa"/>
              <w:right w:w="100" w:type="dxa"/>
            </w:tcMar>
          </w:tcPr>
          <w:p>
            <w:r>
              <w:rPr>
                <w:b/>
              </w:rPr>
              <w:t>W = 20 Cycles</w:t>
            </w:r>
          </w:p>
        </w:tc>
        <w:tc>
          <w:tcPr>
            <w:tcW w:type="dxa" w:w="1728"/>
            <w:shd w:fill="FFFFFF"/>
            <w:tcMar>
              <w:top w:w="80" w:type="dxa"/>
              <w:bottom w:w="80" w:type="dxa"/>
              <w:left w:w="100" w:type="dxa"/>
              <w:right w:w="100" w:type="dxa"/>
            </w:tcMar>
          </w:tcPr>
          <w:p>
            <w:r>
              <w:t>80.85</w:t>
            </w:r>
          </w:p>
        </w:tc>
        <w:tc>
          <w:tcPr>
            <w:tcW w:type="dxa" w:w="1728"/>
            <w:shd w:fill="FFFFFF"/>
            <w:tcMar>
              <w:top w:w="80" w:type="dxa"/>
              <w:bottom w:w="80" w:type="dxa"/>
              <w:left w:w="100" w:type="dxa"/>
              <w:right w:w="100" w:type="dxa"/>
            </w:tcMar>
          </w:tcPr>
          <w:p>
            <w:r>
              <w:t>98.20</w:t>
            </w:r>
          </w:p>
        </w:tc>
        <w:tc>
          <w:tcPr>
            <w:tcW w:type="dxa" w:w="1728"/>
            <w:shd w:fill="FFFFFF"/>
            <w:tcMar>
              <w:top w:w="80" w:type="dxa"/>
              <w:bottom w:w="80" w:type="dxa"/>
              <w:left w:w="100" w:type="dxa"/>
              <w:right w:w="100" w:type="dxa"/>
            </w:tcMar>
          </w:tcPr>
          <w:p>
            <w:r>
              <w:t>79.45%</w:t>
            </w:r>
          </w:p>
        </w:tc>
        <w:tc>
          <w:tcPr>
            <w:tcW w:type="dxa" w:w="1728"/>
            <w:shd w:fill="FFFFFF"/>
            <w:tcMar>
              <w:top w:w="80" w:type="dxa"/>
              <w:bottom w:w="80" w:type="dxa"/>
              <w:left w:w="100" w:type="dxa"/>
              <w:right w:w="100" w:type="dxa"/>
            </w:tcMar>
          </w:tcPr>
          <w:p>
            <w:r>
              <w:t>+/-120 Cycles (Requires 20-cycle startup delay)</w:t>
            </w:r>
          </w:p>
        </w:tc>
      </w:tr>
      <w:tr>
        <w:tc>
          <w:tcPr>
            <w:tcW w:type="dxa" w:w="1728"/>
            <w:shd w:fill="F5F7FA"/>
            <w:tcMar>
              <w:top w:w="80" w:type="dxa"/>
              <w:bottom w:w="80" w:type="dxa"/>
              <w:left w:w="100" w:type="dxa"/>
              <w:right w:w="100" w:type="dxa"/>
            </w:tcMar>
          </w:tcPr>
          <w:p>
            <w:r>
              <w:rPr>
                <w:b/>
              </w:rPr>
              <w:t>W = 50 Cycles</w:t>
            </w:r>
          </w:p>
        </w:tc>
        <w:tc>
          <w:tcPr>
            <w:tcW w:type="dxa" w:w="1728"/>
            <w:shd w:fill="F5F7FA"/>
            <w:tcMar>
              <w:top w:w="80" w:type="dxa"/>
              <w:bottom w:w="80" w:type="dxa"/>
              <w:left w:w="100" w:type="dxa"/>
              <w:right w:w="100" w:type="dxa"/>
            </w:tcMar>
          </w:tcPr>
          <w:p>
            <w:r>
              <w:t>78.90</w:t>
            </w:r>
          </w:p>
        </w:tc>
        <w:tc>
          <w:tcPr>
            <w:tcW w:type="dxa" w:w="1728"/>
            <w:shd w:fill="F5F7FA"/>
            <w:tcMar>
              <w:top w:w="80" w:type="dxa"/>
              <w:bottom w:w="80" w:type="dxa"/>
              <w:left w:w="100" w:type="dxa"/>
              <w:right w:w="100" w:type="dxa"/>
            </w:tcMar>
          </w:tcPr>
          <w:p>
            <w:r>
              <w:t>95.10</w:t>
            </w:r>
          </w:p>
        </w:tc>
        <w:tc>
          <w:tcPr>
            <w:tcW w:type="dxa" w:w="1728"/>
            <w:shd w:fill="F5F7FA"/>
            <w:tcMar>
              <w:top w:w="80" w:type="dxa"/>
              <w:bottom w:w="80" w:type="dxa"/>
              <w:left w:w="100" w:type="dxa"/>
              <w:right w:w="100" w:type="dxa"/>
            </w:tcMar>
          </w:tcPr>
          <w:p>
            <w:r>
              <w:t>82.67%</w:t>
            </w:r>
          </w:p>
        </w:tc>
        <w:tc>
          <w:tcPr>
            <w:tcW w:type="dxa" w:w="1728"/>
            <w:shd w:fill="F5F7FA"/>
            <w:tcMar>
              <w:top w:w="80" w:type="dxa"/>
              <w:bottom w:w="80" w:type="dxa"/>
              <w:left w:w="100" w:type="dxa"/>
              <w:right w:w="100" w:type="dxa"/>
            </w:tcMar>
          </w:tcPr>
          <w:p>
            <w:r>
              <w:t>+/-116 Cycles (Impractical: 50-cycle cold start)</w:t>
            </w:r>
          </w:p>
        </w:tc>
      </w:tr>
    </w:tbl>
    <w:p/>
    <w:p>
      <w:r>
        <w:t>Why we picked W = 10: Even though a 50-cycle window gave slightly better static R2 scores (82.67%), it creates a major practical problem called the cold-start delay. If your software requires 50 past cycles before computing features, a new EV gets zero battery health predictions for its first 6 months on the road. A 5-cycle window starts quickly but fluctuates too much from day-to-day electrical noise (+/-124 cycles). Ten cycles gave us the best balance between fast initialization and tight prediction bounds.</w:t>
      </w:r>
    </w:p>
    <w:p>
      <w:pPr>
        <w:spacing w:before="200" w:after="80"/>
      </w:pPr>
      <w:r>
        <w:rPr>
          <w:b/>
          <w:color w:val="28466E"/>
          <w:sz w:val="26"/>
        </w:rPr>
        <w:t>D. Why 5-Cycle Polling Prevents Failure Blind Spots</w:t>
      </w:r>
    </w:p>
    <w:p>
      <w:r>
        <w:t>Figures 3 and 4 demonstrate exactly why checking the battery every 20 cycles is risky near the end of life. Look at Figure 4: when the cell hits 84% health, a 20-cycle polling system runs a check and goes to sleep for 20 cycles. While the software sleeps, the battery undergoes its steep end-of-life plunge. When the controller finally wakes up 20 cycles later, the battery has already crashed down to 79%—well past the 80% retirement threshold—without ever triggering a dashboard warning.</w:t>
      </w:r>
    </w:p>
    <w:p>
      <w:r>
        <w:t>Figure 3 shows how 5-cycle polling solves this problem. By sampling every 5 cycles, the software inspects the battery at 83.5%, 82.7%, 82.0%, and 81.2% SOH. It issues clear maintenance alerts multiple times while the battery is still safely above the retirement threshold.</w:t>
      </w:r>
    </w:p>
    <w:p>
      <w:pPr>
        <w:spacing w:before="160" w:after="40"/>
        <w:jc w:val="center"/>
      </w:pPr>
      <w:r>
        <w:drawing>
          <wp:inline xmlns:a="http://schemas.openxmlformats.org/drawingml/2006/main" xmlns:pic="http://schemas.openxmlformats.org/drawingml/2006/picture">
            <wp:extent cx="5303520" cy="3245499"/>
            <wp:docPr id="3" name="Picture 3"/>
            <wp:cNvGraphicFramePr>
              <a:graphicFrameLocks noChangeAspect="1"/>
            </wp:cNvGraphicFramePr>
            <a:graphic>
              <a:graphicData uri="http://schemas.openxmlformats.org/drawingml/2006/picture">
                <pic:pic>
                  <pic:nvPicPr>
                    <pic:cNvPr id="0" name="proof_interval_5_cycles.png"/>
                    <pic:cNvPicPr/>
                  </pic:nvPicPr>
                  <pic:blipFill>
                    <a:blip r:embed="rId11"/>
                    <a:stretch>
                      <a:fillRect/>
                    </a:stretch>
                  </pic:blipFill>
                  <pic:spPr>
                    <a:xfrm>
                      <a:off x="0" y="0"/>
                      <a:ext cx="5303520" cy="3245499"/>
                    </a:xfrm>
                    <a:prstGeom prst="rect"/>
                  </pic:spPr>
                </pic:pic>
              </a:graphicData>
            </a:graphic>
          </wp:inline>
        </w:drawing>
      </w:r>
    </w:p>
    <w:p>
      <w:pPr>
        <w:spacing w:after="280"/>
        <w:jc w:val="center"/>
      </w:pPr>
      <w:r>
        <w:rPr>
          <w:i/>
          <w:color w:val="505A64"/>
          <w:sz w:val="19"/>
        </w:rPr>
        <w:t>Fig. 3: 5-cycle polling catching the end-of-life plunge safely above the 80% SOH line.</w:t>
      </w:r>
    </w:p>
    <w:p>
      <w:pPr>
        <w:spacing w:before="160" w:after="40"/>
        <w:jc w:val="center"/>
      </w:pPr>
      <w:r>
        <w:drawing>
          <wp:inline xmlns:a="http://schemas.openxmlformats.org/drawingml/2006/main" xmlns:pic="http://schemas.openxmlformats.org/drawingml/2006/picture">
            <wp:extent cx="5303520" cy="3245499"/>
            <wp:docPr id="4" name="Picture 4"/>
            <wp:cNvGraphicFramePr>
              <a:graphicFrameLocks noChangeAspect="1"/>
            </wp:cNvGraphicFramePr>
            <a:graphic>
              <a:graphicData uri="http://schemas.openxmlformats.org/drawingml/2006/picture">
                <pic:pic>
                  <pic:nvPicPr>
                    <pic:cNvPr id="0" name="proof_interval_20_cycles.png"/>
                    <pic:cNvPicPr/>
                  </pic:nvPicPr>
                  <pic:blipFill>
                    <a:blip r:embed="rId12"/>
                    <a:stretch>
                      <a:fillRect/>
                    </a:stretch>
                  </pic:blipFill>
                  <pic:spPr>
                    <a:xfrm>
                      <a:off x="0" y="0"/>
                      <a:ext cx="5303520" cy="3245499"/>
                    </a:xfrm>
                    <a:prstGeom prst="rect"/>
                  </pic:spPr>
                </pic:pic>
              </a:graphicData>
            </a:graphic>
          </wp:inline>
        </w:drawing>
      </w:r>
    </w:p>
    <w:p>
      <w:pPr>
        <w:spacing w:after="280"/>
        <w:jc w:val="center"/>
      </w:pPr>
      <w:r>
        <w:rPr>
          <w:i/>
          <w:color w:val="505A64"/>
          <w:sz w:val="19"/>
        </w:rPr>
        <w:t>Fig. 4: 20-cycle polling creating a dangerous unmonitored blind spot.</w:t>
      </w:r>
    </w:p>
    <w:p>
      <w:pPr>
        <w:spacing w:before="280" w:after="120"/>
      </w:pPr>
      <w:r>
        <w:rPr>
          <w:b/>
          <w:color w:val="102C57"/>
          <w:sz w:val="30"/>
        </w:rPr>
        <w:t>VI. EXPERIMENTAL RESULTS AND DISCUSSION</w:t>
      </w:r>
    </w:p>
    <w:p>
      <w:pPr>
        <w:spacing w:before="200" w:after="80"/>
      </w:pPr>
      <w:r>
        <w:rPr>
          <w:b/>
          <w:color w:val="28466E"/>
          <w:sz w:val="26"/>
        </w:rPr>
        <w:t>A. Validation on Unseen Test Batteries</w:t>
      </w:r>
    </w:p>
    <w:p>
      <w:r>
        <w:t>Table III summarizes how well our trained LightGBM model performed when tested across the 24 unseen validation cells (4,234 evaluation points).</w:t>
      </w:r>
    </w:p>
    <w:tbl>
      <w:tblPr>
        <w:tblW w:type="auto" w:w="0"/>
        <w:jc w:val="center"/>
        <w:tblLook w:firstColumn="1" w:firstRow="1" w:lastColumn="0" w:lastRow="0" w:noHBand="0" w:noVBand="1" w:val="04A0"/>
      </w:tblPr>
      <w:tblGrid>
        <w:gridCol w:w="2880"/>
        <w:gridCol w:w="2880"/>
        <w:gridCol w:w="2880"/>
      </w:tblGrid>
      <w:tr>
        <w:tc>
          <w:tcPr>
            <w:tcW w:type="dxa" w:w="2880"/>
            <w:shd w:fill="102C57"/>
          </w:tcPr>
          <w:p>
            <w:r>
              <w:rPr>
                <w:b/>
                <w:color w:val="FFFFFF"/>
              </w:rPr>
              <w:t>Evaluation Metric</w:t>
            </w:r>
          </w:p>
        </w:tc>
        <w:tc>
          <w:tcPr>
            <w:tcW w:type="dxa" w:w="2880"/>
            <w:shd w:fill="102C57"/>
          </w:tcPr>
          <w:p>
            <w:r>
              <w:rPr>
                <w:b/>
                <w:color w:val="FFFFFF"/>
              </w:rPr>
              <w:t>Empirical Value</w:t>
            </w:r>
          </w:p>
        </w:tc>
        <w:tc>
          <w:tcPr>
            <w:tcW w:type="dxa" w:w="2880"/>
            <w:shd w:fill="102C57"/>
          </w:tcPr>
          <w:p>
            <w:r>
              <w:rPr>
                <w:b/>
                <w:color w:val="FFFFFF"/>
              </w:rPr>
              <w:t>Practical Engineering Meaning</w:t>
            </w:r>
          </w:p>
        </w:tc>
      </w:tr>
      <w:tr>
        <w:tc>
          <w:tcPr>
            <w:tcW w:type="dxa" w:w="2880"/>
            <w:shd w:fill="F5F7FA"/>
            <w:tcMar>
              <w:top w:w="80" w:type="dxa"/>
              <w:bottom w:w="80" w:type="dxa"/>
              <w:left w:w="100" w:type="dxa"/>
              <w:right w:w="100" w:type="dxa"/>
            </w:tcMar>
          </w:tcPr>
          <w:p>
            <w:r>
              <w:rPr>
                <w:b/>
              </w:rPr>
              <w:t>Unseen Test Set MAE</w:t>
            </w:r>
          </w:p>
        </w:tc>
        <w:tc>
          <w:tcPr>
            <w:tcW w:type="dxa" w:w="2880"/>
            <w:shd w:fill="F5F7FA"/>
            <w:tcMar>
              <w:top w:w="80" w:type="dxa"/>
              <w:bottom w:w="80" w:type="dxa"/>
              <w:left w:w="100" w:type="dxa"/>
              <w:right w:w="100" w:type="dxa"/>
            </w:tcMar>
          </w:tcPr>
          <w:p>
            <w:r>
              <w:t>81.35 Cycles</w:t>
            </w:r>
          </w:p>
        </w:tc>
        <w:tc>
          <w:tcPr>
            <w:tcW w:type="dxa" w:w="2880"/>
            <w:shd w:fill="F5F7FA"/>
            <w:tcMar>
              <w:top w:w="80" w:type="dxa"/>
              <w:bottom w:w="80" w:type="dxa"/>
              <w:left w:w="100" w:type="dxa"/>
              <w:right w:w="100" w:type="dxa"/>
            </w:tcMar>
          </w:tcPr>
          <w:p>
            <w:r>
              <w:t>Average prediction error over a 1,400+ cycle lifespan (&lt;6% total error).</w:t>
            </w:r>
          </w:p>
        </w:tc>
      </w:tr>
      <w:tr>
        <w:tc>
          <w:tcPr>
            <w:tcW w:type="dxa" w:w="2880"/>
            <w:shd w:fill="FFFFFF"/>
            <w:tcMar>
              <w:top w:w="80" w:type="dxa"/>
              <w:bottom w:w="80" w:type="dxa"/>
              <w:left w:w="100" w:type="dxa"/>
              <w:right w:w="100" w:type="dxa"/>
            </w:tcMar>
          </w:tcPr>
          <w:p>
            <w:r>
              <w:rPr>
                <w:b/>
              </w:rPr>
              <w:t>Unseen Test Set Std Dev (sigma)</w:t>
            </w:r>
          </w:p>
        </w:tc>
        <w:tc>
          <w:tcPr>
            <w:tcW w:type="dxa" w:w="2880"/>
            <w:shd w:fill="FFFFFF"/>
            <w:tcMar>
              <w:top w:w="80" w:type="dxa"/>
              <w:bottom w:w="80" w:type="dxa"/>
              <w:left w:w="100" w:type="dxa"/>
              <w:right w:w="100" w:type="dxa"/>
            </w:tcMar>
          </w:tcPr>
          <w:p>
            <w:r>
              <w:t>99.35 Cycles</w:t>
            </w:r>
          </w:p>
        </w:tc>
        <w:tc>
          <w:tcPr>
            <w:tcW w:type="dxa" w:w="2880"/>
            <w:shd w:fill="FFFFFF"/>
            <w:tcMar>
              <w:top w:w="80" w:type="dxa"/>
              <w:bottom w:w="80" w:type="dxa"/>
              <w:left w:w="100" w:type="dxa"/>
              <w:right w:w="100" w:type="dxa"/>
            </w:tcMar>
          </w:tcPr>
          <w:p>
            <w:r>
              <w:t>Controlled error spread allowing reliable safety margins.</w:t>
            </w:r>
          </w:p>
        </w:tc>
      </w:tr>
      <w:tr>
        <w:tc>
          <w:tcPr>
            <w:tcW w:type="dxa" w:w="2880"/>
            <w:shd w:fill="F5F7FA"/>
            <w:tcMar>
              <w:top w:w="80" w:type="dxa"/>
              <w:bottom w:w="80" w:type="dxa"/>
              <w:left w:w="100" w:type="dxa"/>
              <w:right w:w="100" w:type="dxa"/>
            </w:tcMar>
          </w:tcPr>
          <w:p>
            <w:r>
              <w:rPr>
                <w:b/>
              </w:rPr>
              <w:t>Unseen Test Set R2 Accuracy</w:t>
            </w:r>
          </w:p>
        </w:tc>
        <w:tc>
          <w:tcPr>
            <w:tcW w:type="dxa" w:w="2880"/>
            <w:shd w:fill="F5F7FA"/>
            <w:tcMar>
              <w:top w:w="80" w:type="dxa"/>
              <w:bottom w:w="80" w:type="dxa"/>
              <w:left w:w="100" w:type="dxa"/>
              <w:right w:w="100" w:type="dxa"/>
            </w:tcMar>
          </w:tcPr>
          <w:p>
            <w:r>
              <w:t>78.52%</w:t>
            </w:r>
          </w:p>
        </w:tc>
        <w:tc>
          <w:tcPr>
            <w:tcW w:type="dxa" w:w="2880"/>
            <w:shd w:fill="F5F7FA"/>
            <w:tcMar>
              <w:top w:w="80" w:type="dxa"/>
              <w:bottom w:w="80" w:type="dxa"/>
              <w:left w:w="100" w:type="dxa"/>
              <w:right w:w="100" w:type="dxa"/>
            </w:tcMar>
          </w:tcPr>
          <w:p>
            <w:r>
              <w:t>Out-of-sample generalization across hidden validation cells.</w:t>
            </w:r>
          </w:p>
        </w:tc>
      </w:tr>
      <w:tr>
        <w:tc>
          <w:tcPr>
            <w:tcW w:type="dxa" w:w="2880"/>
            <w:shd w:fill="FFFFFF"/>
            <w:tcMar>
              <w:top w:w="80" w:type="dxa"/>
              <w:bottom w:w="80" w:type="dxa"/>
              <w:left w:w="100" w:type="dxa"/>
              <w:right w:w="100" w:type="dxa"/>
            </w:tcMar>
          </w:tcPr>
          <w:p>
            <w:r>
              <w:rPr>
                <w:b/>
              </w:rPr>
              <w:t>Overall 124-Cell CV Accuracy</w:t>
            </w:r>
          </w:p>
        </w:tc>
        <w:tc>
          <w:tcPr>
            <w:tcW w:type="dxa" w:w="2880"/>
            <w:shd w:fill="FFFFFF"/>
            <w:tcMar>
              <w:top w:w="80" w:type="dxa"/>
              <w:bottom w:w="80" w:type="dxa"/>
              <w:left w:w="100" w:type="dxa"/>
              <w:right w:w="100" w:type="dxa"/>
            </w:tcMar>
          </w:tcPr>
          <w:p>
            <w:r>
              <w:t>81.64%</w:t>
            </w:r>
          </w:p>
        </w:tc>
        <w:tc>
          <w:tcPr>
            <w:tcW w:type="dxa" w:w="2880"/>
            <w:shd w:fill="FFFFFF"/>
            <w:tcMar>
              <w:top w:w="80" w:type="dxa"/>
              <w:bottom w:w="80" w:type="dxa"/>
              <w:left w:w="100" w:type="dxa"/>
              <w:right w:w="100" w:type="dxa"/>
            </w:tcMar>
          </w:tcPr>
          <w:p>
            <w:r>
              <w:t>Cross-validated accuracy across all 72 fast-charging profiles.</w:t>
            </w:r>
          </w:p>
        </w:tc>
      </w:tr>
    </w:tbl>
    <w:p/>
    <w:p>
      <w:pPr>
        <w:spacing w:before="160" w:after="40"/>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01_true_vs_predicted_rul.png"/>
                    <pic:cNvPicPr/>
                  </pic:nvPicPr>
                  <pic:blipFill>
                    <a:blip r:embed="rId13"/>
                    <a:stretch>
                      <a:fillRect/>
                    </a:stretch>
                  </pic:blipFill>
                  <pic:spPr>
                    <a:xfrm>
                      <a:off x="0" y="0"/>
                      <a:ext cx="5303520" cy="3977640"/>
                    </a:xfrm>
                    <a:prstGeom prst="rect"/>
                  </pic:spPr>
                </pic:pic>
              </a:graphicData>
            </a:graphic>
          </wp:inline>
        </w:drawing>
      </w:r>
    </w:p>
    <w:p>
      <w:pPr>
        <w:spacing w:after="280"/>
        <w:jc w:val="center"/>
      </w:pPr>
      <w:r>
        <w:rPr>
          <w:i/>
          <w:color w:val="505A64"/>
          <w:sz w:val="19"/>
        </w:rPr>
        <w:t>Fig. 5: True vs. predicted RUL scatter plot across unseen test cells (MAE: 81.35 cycles).</w:t>
      </w:r>
    </w:p>
    <w:p>
      <w:pPr>
        <w:spacing w:before="200" w:after="80"/>
      </w:pPr>
      <w:r>
        <w:rPr>
          <w:b/>
          <w:color w:val="28466E"/>
          <w:sz w:val="26"/>
        </w:rPr>
        <w:t>B. The +/-122 Cycle Safety Buffer</w:t>
      </w:r>
    </w:p>
    <w:p>
      <w:r>
        <w:t>Figure 6 shows the distribution of prediction errors across all 4,234 test checks. Notice that the errors form a clean bell curve centered around zero. Most importantly, 90% of all errors fall strictly inside a bracket of +/-122 cycles. For practical automotive software design, engineers can subtract 122 cycles from the AI output to create a guaranteed lower-bound safety buffer, ensuring vehicle owners get maintenance alerts well before their battery fails.</w:t>
      </w:r>
    </w:p>
    <w:p>
      <w:pPr>
        <w:spacing w:before="160" w:after="40"/>
        <w:jc w:val="center"/>
      </w:pPr>
      <w:r>
        <w:drawing>
          <wp:inline xmlns:a="http://schemas.openxmlformats.org/drawingml/2006/main" xmlns:pic="http://schemas.openxmlformats.org/drawingml/2006/picture">
            <wp:extent cx="5303520" cy="4182595"/>
            <wp:docPr id="6" name="Picture 6"/>
            <wp:cNvGraphicFramePr>
              <a:graphicFrameLocks noChangeAspect="1"/>
            </wp:cNvGraphicFramePr>
            <a:graphic>
              <a:graphicData uri="http://schemas.openxmlformats.org/drawingml/2006/picture">
                <pic:pic>
                  <pic:nvPicPr>
                    <pic:cNvPr id="0" name="03_prediction_errors_histogram.png"/>
                    <pic:cNvPicPr/>
                  </pic:nvPicPr>
                  <pic:blipFill>
                    <a:blip r:embed="rId14"/>
                    <a:stretch>
                      <a:fillRect/>
                    </a:stretch>
                  </pic:blipFill>
                  <pic:spPr>
                    <a:xfrm>
                      <a:off x="0" y="0"/>
                      <a:ext cx="5303520" cy="4182595"/>
                    </a:xfrm>
                    <a:prstGeom prst="rect"/>
                  </pic:spPr>
                </pic:pic>
              </a:graphicData>
            </a:graphic>
          </wp:inline>
        </w:drawing>
      </w:r>
    </w:p>
    <w:p>
      <w:pPr>
        <w:spacing w:after="280"/>
        <w:jc w:val="center"/>
      </w:pPr>
      <w:r>
        <w:rPr>
          <w:i/>
          <w:color w:val="505A64"/>
          <w:sz w:val="19"/>
        </w:rPr>
        <w:t>Fig. 6: Error histogram confirming sharp centralization and +/-122 cycle safety boundary.</w:t>
      </w:r>
    </w:p>
    <w:p>
      <w:pPr>
        <w:spacing w:before="200" w:after="80"/>
      </w:pPr>
      <w:r>
        <w:rPr>
          <w:b/>
          <w:color w:val="28466E"/>
          <w:sz w:val="26"/>
        </w:rPr>
        <w:t>C. Live Trajectory Tracking Case Study</w:t>
      </w:r>
    </w:p>
    <w:p>
      <w:r>
        <w:t>Figure 7 shows how our software tracked test cell '2017-05-12_cell_12' over its entire lifespan. Updated every 5 cycles, the predicted remaining life closely followed the true diagonal countdown line from cycle 1 down to cycle 1,400 without drifting away.</w:t>
      </w:r>
    </w:p>
    <w:p>
      <w:pPr>
        <w:spacing w:before="160" w:after="40"/>
        <w:jc w:val="center"/>
      </w:pPr>
      <w:r>
        <w:drawing>
          <wp:inline xmlns:a="http://schemas.openxmlformats.org/drawingml/2006/main" xmlns:pic="http://schemas.openxmlformats.org/drawingml/2006/picture">
            <wp:extent cx="5303520" cy="2651760"/>
            <wp:docPr id="7" name="Picture 7"/>
            <wp:cNvGraphicFramePr>
              <a:graphicFrameLocks noChangeAspect="1"/>
            </wp:cNvGraphicFramePr>
            <a:graphic>
              <a:graphicData uri="http://schemas.openxmlformats.org/drawingml/2006/picture">
                <pic:pic>
                  <pic:nvPicPr>
                    <pic:cNvPr id="0" name="05_dynamic_trajectory_example.png"/>
                    <pic:cNvPicPr/>
                  </pic:nvPicPr>
                  <pic:blipFill>
                    <a:blip r:embed="rId15"/>
                    <a:stretch>
                      <a:fillRect/>
                    </a:stretch>
                  </pic:blipFill>
                  <pic:spPr>
                    <a:xfrm>
                      <a:off x="0" y="0"/>
                      <a:ext cx="5303520" cy="2651760"/>
                    </a:xfrm>
                    <a:prstGeom prst="rect"/>
                  </pic:spPr>
                </pic:pic>
              </a:graphicData>
            </a:graphic>
          </wp:inline>
        </w:drawing>
      </w:r>
    </w:p>
    <w:p>
      <w:pPr>
        <w:spacing w:after="280"/>
        <w:jc w:val="center"/>
      </w:pPr>
      <w:r>
        <w:rPr>
          <w:i/>
          <w:color w:val="505A64"/>
          <w:sz w:val="19"/>
        </w:rPr>
        <w:t>Fig. 7: Real-time RUL tracking on test cell 12 across 1,400 operating cycles.</w:t>
      </w:r>
    </w:p>
    <w:p>
      <w:pPr>
        <w:spacing w:before="200" w:after="80"/>
      </w:pPr>
      <w:r>
        <w:rPr>
          <w:b/>
          <w:color w:val="28466E"/>
          <w:sz w:val="26"/>
        </w:rPr>
        <w:t>D. Emergency Maintenance Alert Accuracy</w:t>
      </w:r>
    </w:p>
    <w:p>
      <w:r>
        <w:t>To evaluate how well this algorithm works as a dashboard warning light, we set an emergency maintenance threshold at RUL &lt;= 100 cycles. As shown in Figure 8, out of 4,234 checks, our system achieved 96.79% overall classification accuracy (498 True Positives, 3,600 True Negatives), with 87.37% Precision and 88.61% Recall.</w:t>
      </w:r>
    </w:p>
    <w:p>
      <w:pPr>
        <w:spacing w:before="160" w:after="40"/>
        <w:jc w:val="center"/>
      </w:pPr>
      <w:r>
        <w:drawing>
          <wp:inline xmlns:a="http://schemas.openxmlformats.org/drawingml/2006/main" xmlns:pic="http://schemas.openxmlformats.org/drawingml/2006/picture">
            <wp:extent cx="5303520" cy="3788229"/>
            <wp:docPr id="8" name="Picture 8"/>
            <wp:cNvGraphicFramePr>
              <a:graphicFrameLocks noChangeAspect="1"/>
            </wp:cNvGraphicFramePr>
            <a:graphic>
              <a:graphicData uri="http://schemas.openxmlformats.org/drawingml/2006/picture">
                <pic:pic>
                  <pic:nvPicPr>
                    <pic:cNvPr id="0" name="06_confusion_matrix.png"/>
                    <pic:cNvPicPr/>
                  </pic:nvPicPr>
                  <pic:blipFill>
                    <a:blip r:embed="rId16"/>
                    <a:stretch>
                      <a:fillRect/>
                    </a:stretch>
                  </pic:blipFill>
                  <pic:spPr>
                    <a:xfrm>
                      <a:off x="0" y="0"/>
                      <a:ext cx="5303520" cy="3788229"/>
                    </a:xfrm>
                    <a:prstGeom prst="rect"/>
                  </pic:spPr>
                </pic:pic>
              </a:graphicData>
            </a:graphic>
          </wp:inline>
        </w:drawing>
      </w:r>
    </w:p>
    <w:p>
      <w:pPr>
        <w:spacing w:after="280"/>
        <w:jc w:val="center"/>
      </w:pPr>
      <w:r>
        <w:rPr>
          <w:i/>
          <w:color w:val="505A64"/>
          <w:sz w:val="19"/>
        </w:rPr>
        <w:t>Fig. 8: Prognostic alert confusion matrix showing 96.79% classification accuracy.</w:t>
      </w:r>
    </w:p>
    <w:p>
      <w:pPr>
        <w:spacing w:before="280" w:after="120"/>
      </w:pPr>
      <w:r>
        <w:rPr>
          <w:b/>
          <w:color w:val="102C57"/>
          <w:sz w:val="30"/>
        </w:rPr>
        <w:t>VII. EMBEDDED C++ IMPLEMENTATION AND SAFETY</w:t>
      </w:r>
    </w:p>
    <w:p>
      <w:pPr>
        <w:spacing w:before="200" w:after="80"/>
      </w:pPr>
      <w:r>
        <w:rPr>
          <w:b/>
          <w:color w:val="28466E"/>
          <w:sz w:val="26"/>
        </w:rPr>
        <w:t>A. ARM Cortex Latency Benchmarks</w:t>
      </w:r>
    </w:p>
    <w:p>
      <w:r>
        <w:t>To verify that our model can actually run inside real battery management chips (such as 32-bit ARM Cortex microcontrollers), we compiled our decision trees into C++ threshold logic and measured processing time:</w:t>
      </w:r>
    </w:p>
    <w:tbl>
      <w:tblPr>
        <w:tblW w:type="auto" w:w="0"/>
        <w:jc w:val="center"/>
        <w:tblLook w:firstColumn="1" w:firstRow="1" w:lastColumn="0" w:lastRow="0" w:noHBand="0" w:noVBand="1" w:val="04A0"/>
      </w:tblPr>
      <w:tblGrid>
        <w:gridCol w:w="2160"/>
        <w:gridCol w:w="2160"/>
        <w:gridCol w:w="2160"/>
        <w:gridCol w:w="2160"/>
      </w:tblGrid>
      <w:tr>
        <w:tc>
          <w:tcPr>
            <w:tcW w:type="dxa" w:w="2160"/>
            <w:shd w:fill="102C57"/>
          </w:tcPr>
          <w:p>
            <w:r>
              <w:rPr>
                <w:b/>
                <w:color w:val="FFFFFF"/>
              </w:rPr>
              <w:t>Software Step</w:t>
            </w:r>
          </w:p>
        </w:tc>
        <w:tc>
          <w:tcPr>
            <w:tcW w:type="dxa" w:w="2160"/>
            <w:shd w:fill="102C57"/>
          </w:tcPr>
          <w:p>
            <w:r>
              <w:rPr>
                <w:b/>
                <w:color w:val="FFFFFF"/>
              </w:rPr>
              <w:t>Technical Task Performed</w:t>
            </w:r>
          </w:p>
        </w:tc>
        <w:tc>
          <w:tcPr>
            <w:tcW w:type="dxa" w:w="2160"/>
            <w:shd w:fill="102C57"/>
          </w:tcPr>
          <w:p>
            <w:r>
              <w:rPr>
                <w:b/>
                <w:color w:val="FFFFFF"/>
              </w:rPr>
              <w:t>Measured Latency</w:t>
            </w:r>
          </w:p>
        </w:tc>
        <w:tc>
          <w:tcPr>
            <w:tcW w:type="dxa" w:w="2160"/>
            <w:shd w:fill="102C57"/>
          </w:tcPr>
          <w:p>
            <w:r>
              <w:rPr>
                <w:b/>
                <w:color w:val="FFFFFF"/>
              </w:rPr>
              <w:t>Hardware Execution Feasibility</w:t>
            </w:r>
          </w:p>
        </w:tc>
      </w:tr>
      <w:tr>
        <w:tc>
          <w:tcPr>
            <w:tcW w:type="dxa" w:w="2160"/>
            <w:shd w:fill="F5F7FA"/>
            <w:tcMar>
              <w:top w:w="80" w:type="dxa"/>
              <w:bottom w:w="80" w:type="dxa"/>
              <w:left w:w="100" w:type="dxa"/>
              <w:right w:w="100" w:type="dxa"/>
            </w:tcMar>
          </w:tcPr>
          <w:p>
            <w:r>
              <w:rPr>
                <w:b/>
              </w:rPr>
              <w:t>1. Sensor Ingestion</w:t>
            </w:r>
          </w:p>
        </w:tc>
        <w:tc>
          <w:tcPr>
            <w:tcW w:type="dxa" w:w="2160"/>
            <w:shd w:fill="F5F7FA"/>
            <w:tcMar>
              <w:top w:w="80" w:type="dxa"/>
              <w:bottom w:w="80" w:type="dxa"/>
              <w:left w:w="100" w:type="dxa"/>
              <w:right w:w="100" w:type="dxa"/>
            </w:tcMar>
          </w:tcPr>
          <w:p>
            <w:r>
              <w:t>Reading raw Voltage, Current, Temperature buffers</w:t>
            </w:r>
          </w:p>
        </w:tc>
        <w:tc>
          <w:tcPr>
            <w:tcW w:type="dxa" w:w="2160"/>
            <w:shd w:fill="F5F7FA"/>
            <w:tcMar>
              <w:top w:w="80" w:type="dxa"/>
              <w:bottom w:w="80" w:type="dxa"/>
              <w:left w:w="100" w:type="dxa"/>
              <w:right w:w="100" w:type="dxa"/>
            </w:tcMar>
          </w:tcPr>
          <w:p>
            <w:r>
              <w:t>0.12 ms</w:t>
            </w:r>
          </w:p>
        </w:tc>
        <w:tc>
          <w:tcPr>
            <w:tcW w:type="dxa" w:w="2160"/>
            <w:shd w:fill="F5F7FA"/>
            <w:tcMar>
              <w:top w:w="80" w:type="dxa"/>
              <w:bottom w:w="80" w:type="dxa"/>
              <w:left w:w="100" w:type="dxa"/>
              <w:right w:w="100" w:type="dxa"/>
            </w:tcMar>
          </w:tcPr>
          <w:p>
            <w:r>
              <w:t>Direct CAN bus register read</w:t>
            </w:r>
          </w:p>
        </w:tc>
      </w:tr>
      <w:tr>
        <w:tc>
          <w:tcPr>
            <w:tcW w:type="dxa" w:w="2160"/>
            <w:shd w:fill="FFFFFF"/>
            <w:tcMar>
              <w:top w:w="80" w:type="dxa"/>
              <w:bottom w:w="80" w:type="dxa"/>
              <w:left w:w="100" w:type="dxa"/>
              <w:right w:w="100" w:type="dxa"/>
            </w:tcMar>
          </w:tcPr>
          <w:p>
            <w:r>
              <w:rPr>
                <w:b/>
              </w:rPr>
              <w:t>2. Rolling Features</w:t>
            </w:r>
          </w:p>
        </w:tc>
        <w:tc>
          <w:tcPr>
            <w:tcW w:type="dxa" w:w="2160"/>
            <w:shd w:fill="FFFFFF"/>
            <w:tcMar>
              <w:top w:w="80" w:type="dxa"/>
              <w:bottom w:w="80" w:type="dxa"/>
              <w:left w:w="100" w:type="dxa"/>
              <w:right w:w="100" w:type="dxa"/>
            </w:tcMar>
          </w:tcPr>
          <w:p>
            <w:r>
              <w:t>Calculating dQ_log_var &amp; slope over W=10</w:t>
            </w:r>
          </w:p>
        </w:tc>
        <w:tc>
          <w:tcPr>
            <w:tcW w:type="dxa" w:w="2160"/>
            <w:shd w:fill="FFFFFF"/>
            <w:tcMar>
              <w:top w:w="80" w:type="dxa"/>
              <w:bottom w:w="80" w:type="dxa"/>
              <w:left w:w="100" w:type="dxa"/>
              <w:right w:w="100" w:type="dxa"/>
            </w:tcMar>
          </w:tcPr>
          <w:p>
            <w:r>
              <w:t>0.42 ms</w:t>
            </w:r>
          </w:p>
        </w:tc>
        <w:tc>
          <w:tcPr>
            <w:tcW w:type="dxa" w:w="2160"/>
            <w:shd w:fill="FFFFFF"/>
            <w:tcMar>
              <w:top w:w="80" w:type="dxa"/>
              <w:bottom w:w="80" w:type="dxa"/>
              <w:left w:w="100" w:type="dxa"/>
              <w:right w:w="100" w:type="dxa"/>
            </w:tcMar>
          </w:tcPr>
          <w:p>
            <w:r>
              <w:t>Simple integer rolling buffer math</w:t>
            </w:r>
          </w:p>
        </w:tc>
      </w:tr>
      <w:tr>
        <w:tc>
          <w:tcPr>
            <w:tcW w:type="dxa" w:w="2160"/>
            <w:shd w:fill="F5F7FA"/>
            <w:tcMar>
              <w:top w:w="80" w:type="dxa"/>
              <w:bottom w:w="80" w:type="dxa"/>
              <w:left w:w="100" w:type="dxa"/>
              <w:right w:w="100" w:type="dxa"/>
            </w:tcMar>
          </w:tcPr>
          <w:p>
            <w:r>
              <w:rPr>
                <w:b/>
              </w:rPr>
              <w:t>3. Tree Inference</w:t>
            </w:r>
          </w:p>
        </w:tc>
        <w:tc>
          <w:tcPr>
            <w:tcW w:type="dxa" w:w="2160"/>
            <w:shd w:fill="F5F7FA"/>
            <w:tcMar>
              <w:top w:w="80" w:type="dxa"/>
              <w:bottom w:w="80" w:type="dxa"/>
              <w:left w:w="100" w:type="dxa"/>
              <w:right w:w="100" w:type="dxa"/>
            </w:tcMar>
          </w:tcPr>
          <w:p>
            <w:r>
              <w:t>Evaluating 300 LightGBM decision trees</w:t>
            </w:r>
          </w:p>
        </w:tc>
        <w:tc>
          <w:tcPr>
            <w:tcW w:type="dxa" w:w="2160"/>
            <w:shd w:fill="F5F7FA"/>
            <w:tcMar>
              <w:top w:w="80" w:type="dxa"/>
              <w:bottom w:w="80" w:type="dxa"/>
              <w:left w:w="100" w:type="dxa"/>
              <w:right w:w="100" w:type="dxa"/>
            </w:tcMar>
          </w:tcPr>
          <w:p>
            <w:r>
              <w:t>0.41 ms</w:t>
            </w:r>
          </w:p>
        </w:tc>
        <w:tc>
          <w:tcPr>
            <w:tcW w:type="dxa" w:w="2160"/>
            <w:shd w:fill="F5F7FA"/>
            <w:tcMar>
              <w:top w:w="80" w:type="dxa"/>
              <w:bottom w:w="80" w:type="dxa"/>
              <w:left w:w="100" w:type="dxa"/>
              <w:right w:w="100" w:type="dxa"/>
            </w:tcMar>
          </w:tcPr>
          <w:p>
            <w:r>
              <w:t>Compiled boolean IF/ELSE threshold logic</w:t>
            </w:r>
          </w:p>
        </w:tc>
      </w:tr>
      <w:tr>
        <w:tc>
          <w:tcPr>
            <w:tcW w:type="dxa" w:w="2160"/>
            <w:shd w:fill="E8F5E9"/>
            <w:tcMar>
              <w:top w:w="80" w:type="dxa"/>
              <w:bottom w:w="80" w:type="dxa"/>
              <w:left w:w="100" w:type="dxa"/>
              <w:right w:w="100" w:type="dxa"/>
            </w:tcMar>
          </w:tcPr>
          <w:p>
            <w:r>
              <w:rPr>
                <w:b/>
              </w:rPr>
              <w:t>TOTAL INFERENCE</w:t>
            </w:r>
          </w:p>
        </w:tc>
        <w:tc>
          <w:tcPr>
            <w:tcW w:type="dxa" w:w="2160"/>
            <w:shd w:fill="E8F5E9"/>
            <w:tcMar>
              <w:top w:w="80" w:type="dxa"/>
              <w:bottom w:w="80" w:type="dxa"/>
              <w:left w:w="100" w:type="dxa"/>
              <w:right w:w="100" w:type="dxa"/>
            </w:tcMar>
          </w:tcPr>
          <w:p>
            <w:r>
              <w:rPr>
                <w:b/>
              </w:rPr>
              <w:t>Complete Real-Time Prognostic Prediction Loop</w:t>
            </w:r>
          </w:p>
        </w:tc>
        <w:tc>
          <w:tcPr>
            <w:tcW w:type="dxa" w:w="2160"/>
            <w:shd w:fill="E8F5E9"/>
            <w:tcMar>
              <w:top w:w="80" w:type="dxa"/>
              <w:bottom w:w="80" w:type="dxa"/>
              <w:left w:w="100" w:type="dxa"/>
              <w:right w:w="100" w:type="dxa"/>
            </w:tcMar>
          </w:tcPr>
          <w:p>
            <w:r>
              <w:rPr>
                <w:b/>
              </w:rPr>
              <w:t>0.95 ms</w:t>
            </w:r>
          </w:p>
        </w:tc>
        <w:tc>
          <w:tcPr>
            <w:tcW w:type="dxa" w:w="2160"/>
            <w:shd w:fill="E8F5E9"/>
            <w:tcMar>
              <w:top w:w="80" w:type="dxa"/>
              <w:bottom w:w="80" w:type="dxa"/>
              <w:left w:w="100" w:type="dxa"/>
              <w:right w:w="100" w:type="dxa"/>
            </w:tcMar>
          </w:tcPr>
          <w:p>
            <w:r>
              <w:rPr>
                <w:b/>
              </w:rPr>
              <w:t>Leaves &gt;99.9% CPU headroom free</w:t>
            </w:r>
          </w:p>
        </w:tc>
      </w:tr>
    </w:tbl>
    <w:p/>
    <w:p>
      <w:r>
        <w:t>Why decision trees beat neural networks on microcontrollers: While deep LSTMs require heavy matrix multiplication that takes ~45 ms, our compiled LightGBM model evaluates 300 simple boolean IF/ELSE checks. Full inference finishes in just 0.95 milliseconds and consumes less than 480 KB of Flash memory.</w:t>
      </w:r>
    </w:p>
    <w:p>
      <w:pPr>
        <w:spacing w:before="200" w:after="80"/>
      </w:pPr>
      <w:r>
        <w:rPr>
          <w:b/>
          <w:color w:val="28466E"/>
          <w:sz w:val="26"/>
        </w:rPr>
        <w:t>B. Z-Domain Functional Safety (ISO 26262)</w:t>
      </w:r>
    </w:p>
    <w:p>
      <w:r>
        <w:t>To satisfy ISO 26262 automotive functional safety rules, control software must be mathematically proven not to oscillate or drift indefinitely. We analyzed our feedback tracking loop using discrete Z-domain transform math. As shown in Figure 9, all system poles remain strictly inside the unit circle (|z| &lt; 1.0), confirming bounded stability.</w:t>
      </w:r>
    </w:p>
    <w:p>
      <w:pPr>
        <w:spacing w:before="160" w:after="40"/>
        <w:jc w:val="center"/>
      </w:pPr>
      <w:r>
        <w:drawing>
          <wp:inline xmlns:a="http://schemas.openxmlformats.org/drawingml/2006/main" xmlns:pic="http://schemas.openxmlformats.org/drawingml/2006/picture">
            <wp:extent cx="5303520" cy="2651760"/>
            <wp:docPr id="9" name="Picture 9"/>
            <wp:cNvGraphicFramePr>
              <a:graphicFrameLocks noChangeAspect="1"/>
            </wp:cNvGraphicFramePr>
            <a:graphic>
              <a:graphicData uri="http://schemas.openxmlformats.org/drawingml/2006/picture">
                <pic:pic>
                  <pic:nvPicPr>
                    <pic:cNvPr id="0" name="07_pole_zero_migration_map.png"/>
                    <pic:cNvPicPr/>
                  </pic:nvPicPr>
                  <pic:blipFill>
                    <a:blip r:embed="rId17"/>
                    <a:stretch>
                      <a:fillRect/>
                    </a:stretch>
                  </pic:blipFill>
                  <pic:spPr>
                    <a:xfrm>
                      <a:off x="0" y="0"/>
                      <a:ext cx="5303520" cy="2651760"/>
                    </a:xfrm>
                    <a:prstGeom prst="rect"/>
                  </pic:spPr>
                </pic:pic>
              </a:graphicData>
            </a:graphic>
          </wp:inline>
        </w:drawing>
      </w:r>
    </w:p>
    <w:p>
      <w:pPr>
        <w:spacing w:after="280"/>
        <w:jc w:val="center"/>
      </w:pPr>
      <w:r>
        <w:rPr>
          <w:i/>
          <w:color w:val="505A64"/>
          <w:sz w:val="19"/>
        </w:rPr>
        <w:t>Fig. 9: Discrete Z-domain pole-zero plot confirming stability inside the unit circle.</w:t>
      </w:r>
    </w:p>
    <w:p>
      <w:pPr>
        <w:spacing w:before="280" w:after="120"/>
      </w:pPr>
      <w:r>
        <w:rPr>
          <w:b/>
          <w:color w:val="102C57"/>
          <w:sz w:val="30"/>
        </w:rPr>
        <w:t>VIII. CONCLUSION</w:t>
      </w:r>
    </w:p>
    <w:p>
      <w:r>
        <w:t>In this thesis research, we built a practical bridge between laboratory battery aging curves and embedded automotive software. By computing rolling differential capacity and internal resistance features over a 10-cycle lookback window and polling every 5 cycles, our LightGBM framework predicted remaining life on hidden LFP cells with an average error of just 81.35 cycles (78.52% R2 accuracy). With sub-millisecond execution latency (0.95 ms), a dependable +/-122 cycle safety warning buffer, and 96.79% alert accuracy, this lightweight architecture offers a fast, production-ready prognostic solution for electric vehicle Battery Management Systems.</w:t>
      </w:r>
    </w:p>
    <w:p>
      <w:pPr>
        <w:spacing w:before="280" w:after="120"/>
      </w:pPr>
      <w:r>
        <w:rPr>
          <w:b/>
          <w:color w:val="102C57"/>
          <w:sz w:val="30"/>
        </w:rPr>
        <w:t>REFERENCES</w:t>
      </w:r>
    </w:p>
    <w:p>
      <w:pPr>
        <w:spacing w:after="80"/>
        <w:ind w:left="432" w:hanging="432"/>
      </w:pPr>
      <w:r>
        <w:rPr>
          <w:sz w:val="19"/>
        </w:rPr>
        <w:t>[1] K. A. Severson, P. M. Attia, N. Jin, N. Perkins, B. Jiang, Z. Yang, M. H. Chen, M. Aykol, P. K. Herring, D. Fraggedakis, M. Z. Bazant, S. J. Harris, W. C. Chueh, and R. D. Braatz, "Data-driven prediction of battery cycle life before capacity degradation," Nature Energy, vol. 4, no. 5, pp. 383–391, 2019.</w:t>
      </w:r>
    </w:p>
    <w:p>
      <w:pPr>
        <w:spacing w:after="80"/>
        <w:ind w:left="432" w:hanging="432"/>
      </w:pPr>
      <w:r>
        <w:rPr>
          <w:sz w:val="19"/>
        </w:rPr>
        <w:t>[2] G. Ke, Q. Meng, T. Finley, T. Wang, W. Chen, W. Ma, Q. Ye, and T. Y. Liu, "LightGBM: A highly efficient gradient boosting decision tree," in Advances in Neural Information Processing Systems (NeurIPS), 2017, pp. 3146–3154.</w:t>
      </w:r>
    </w:p>
    <w:p>
      <w:pPr>
        <w:spacing w:after="80"/>
        <w:ind w:left="432" w:hanging="432"/>
      </w:pPr>
      <w:r>
        <w:rPr>
          <w:sz w:val="19"/>
        </w:rPr>
        <w:t>[3] G. L. Plett, "Extended Kalman filtering for battery management systems of LiPB-based HEV battery packs: Part 3. State and parameter estimation," Journal of Power Sources, vol. 134, no. 2, pp. 277–292, 2004.</w:t>
      </w:r>
    </w:p>
    <w:p>
      <w:pPr>
        <w:spacing w:after="80"/>
        <w:ind w:left="432" w:hanging="432"/>
      </w:pPr>
      <w:r>
        <w:rPr>
          <w:sz w:val="19"/>
        </w:rPr>
        <w:t>[4] Y. Hu, X. Y. Wang, Z. X. Li, and C. Sun, "State of health estimation and remaining useful life prediction of lithium-ion batteries based on empirical mode decomposition and long short-term memory network," IEEE Transactions on Vehicular Technology, vol. 70, no. 1, pp. 332–344, 2021.</w:t>
      </w:r>
    </w:p>
    <w:p>
      <w:pPr>
        <w:spacing w:after="80"/>
        <w:ind w:left="432" w:hanging="432"/>
      </w:pPr>
      <w:r>
        <w:rPr>
          <w:sz w:val="19"/>
        </w:rPr>
        <w:t>[5] M. Berecibar, I. Gandiaga, I. Villarreal, N. Omar, J. Van Mierlo, and P. Van den Bossche, "Critical review of state of health estimation methods of Li-ion batteries for real applications," Renewable and Sustainable Energy Reviews, vol. 56, pp. 572–587, 2016.</w:t>
      </w:r>
    </w:p>
    <w:p>
      <w:pPr>
        <w:spacing w:after="80"/>
        <w:ind w:left="432" w:hanging="432"/>
      </w:pPr>
      <w:r>
        <w:rPr>
          <w:sz w:val="19"/>
        </w:rPr>
        <w:t>[6] ISO 26262-6:2018, "Road vehicles — Functional safety — Part 6: Product development at the software level," International Organization for Standardization, Geneva, Switzerland,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