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0E09" w:rsidRDefault="007E52E8">
      <w:pPr>
        <w:pBdr>
          <w:top w:val="nil"/>
          <w:left w:val="nil"/>
          <w:bottom w:val="nil"/>
          <w:right w:val="nil"/>
          <w:between w:val="nil"/>
        </w:pBdr>
        <w:spacing w:before="100" w:after="100"/>
        <w:jc w:val="center"/>
        <w:rPr>
          <w:color w:val="000000"/>
          <w:sz w:val="48"/>
          <w:szCs w:val="48"/>
        </w:rPr>
      </w:pPr>
      <w:r>
        <w:rPr>
          <w:color w:val="000000"/>
          <w:sz w:val="48"/>
          <w:szCs w:val="48"/>
        </w:rPr>
        <w:t>Paper Title* (use style: paper title)</w:t>
      </w:r>
    </w:p>
    <w:p w:rsidR="00F50E09" w:rsidRDefault="007E52E8">
      <w:pPr>
        <w:pBdr>
          <w:top w:val="nil"/>
          <w:left w:val="nil"/>
          <w:bottom w:val="nil"/>
          <w:right w:val="nil"/>
          <w:between w:val="nil"/>
        </w:pBdr>
        <w:spacing w:before="100" w:after="100"/>
        <w:jc w:val="center"/>
        <w:rPr>
          <w:color w:val="000000"/>
          <w:sz w:val="16"/>
          <w:szCs w:val="16"/>
        </w:rPr>
      </w:pPr>
      <w:r>
        <w:rPr>
          <w:color w:val="000000"/>
          <w:sz w:val="16"/>
          <w:szCs w:val="16"/>
        </w:rPr>
        <w:t xml:space="preserve">*Note: Sub-titles are not captured in </w:t>
      </w:r>
      <w:proofErr w:type="spellStart"/>
      <w:r>
        <w:rPr>
          <w:color w:val="000000"/>
          <w:sz w:val="16"/>
          <w:szCs w:val="16"/>
        </w:rPr>
        <w:t>Xplore</w:t>
      </w:r>
      <w:proofErr w:type="spellEnd"/>
      <w:r>
        <w:rPr>
          <w:color w:val="000000"/>
          <w:sz w:val="16"/>
          <w:szCs w:val="16"/>
        </w:rPr>
        <w:t xml:space="preserve"> and should not be used</w:t>
      </w:r>
    </w:p>
    <w:p w:rsidR="00F50E09" w:rsidRDefault="00F50E09">
      <w:pPr>
        <w:pBdr>
          <w:top w:val="nil"/>
          <w:left w:val="nil"/>
          <w:bottom w:val="nil"/>
          <w:right w:val="nil"/>
          <w:between w:val="nil"/>
        </w:pBdr>
        <w:spacing w:before="100" w:after="100" w:line="120" w:lineRule="auto"/>
        <w:jc w:val="center"/>
        <w:rPr>
          <w:color w:val="000000"/>
          <w:sz w:val="16"/>
          <w:szCs w:val="16"/>
        </w:rPr>
        <w:sectPr w:rsidR="00F50E09">
          <w:headerReference w:type="default" r:id="rId8"/>
          <w:footerReference w:type="default" r:id="rId9"/>
          <w:headerReference w:type="first" r:id="rId10"/>
          <w:footerReference w:type="first" r:id="rId11"/>
          <w:pgSz w:w="11900" w:h="16840"/>
          <w:pgMar w:top="540" w:right="893" w:bottom="1440" w:left="893" w:header="720" w:footer="720" w:gutter="0"/>
          <w:pgNumType w:start="1"/>
          <w:cols w:space="720"/>
          <w:titlePg/>
        </w:sectPr>
      </w:pPr>
    </w:p>
    <w:p w:rsidR="00F50E09" w:rsidRDefault="007E52E8">
      <w:pPr>
        <w:pBdr>
          <w:top w:val="nil"/>
          <w:left w:val="nil"/>
          <w:bottom w:val="nil"/>
          <w:right w:val="nil"/>
          <w:between w:val="nil"/>
        </w:pBdr>
        <w:spacing w:before="100" w:after="40"/>
        <w:jc w:val="center"/>
        <w:rPr>
          <w:color w:val="000000"/>
          <w:sz w:val="22"/>
          <w:szCs w:val="22"/>
        </w:rPr>
        <w:sectPr w:rsidR="00F50E09">
          <w:type w:val="continuous"/>
          <w:pgSz w:w="11900" w:h="16840"/>
          <w:pgMar w:top="450" w:right="893" w:bottom="1440" w:left="893" w:header="720" w:footer="720" w:gutter="0"/>
          <w:cols w:num="3" w:space="720" w:equalWidth="0">
            <w:col w:w="2891" w:space="720"/>
            <w:col w:w="2891" w:space="720"/>
            <w:col w:w="2891" w:space="0"/>
          </w:cols>
        </w:sectPr>
      </w:pPr>
      <w:bookmarkStart w:id="0" w:name="_GoBack"/>
      <w:bookmarkEnd w:id="0"/>
      <w:r>
        <w:rPr>
          <w:color w:val="000000"/>
          <w:sz w:val="22"/>
          <w:szCs w:val="22"/>
        </w:rPr>
        <w:lastRenderedPageBreak/>
        <w:t xml:space="preserve"> </w:t>
      </w:r>
    </w:p>
    <w:p w:rsidR="00F50E09" w:rsidRDefault="007E52E8">
      <w:pPr>
        <w:pBdr>
          <w:top w:val="nil"/>
          <w:left w:val="nil"/>
          <w:bottom w:val="nil"/>
          <w:right w:val="nil"/>
          <w:between w:val="nil"/>
        </w:pBdr>
        <w:jc w:val="center"/>
        <w:rPr>
          <w:color w:val="000000"/>
          <w:sz w:val="20"/>
          <w:szCs w:val="20"/>
        </w:rPr>
        <w:sectPr w:rsidR="00F50E09">
          <w:type w:val="continuous"/>
          <w:pgSz w:w="11900" w:h="16840"/>
          <w:pgMar w:top="450" w:right="893" w:bottom="1440" w:left="893" w:header="720" w:footer="720" w:gutter="0"/>
          <w:cols w:num="3" w:space="720" w:equalWidth="0">
            <w:col w:w="2891" w:space="720"/>
            <w:col w:w="2891" w:space="720"/>
            <w:col w:w="2891" w:space="0"/>
          </w:cols>
        </w:sectPr>
      </w:pPr>
      <w:r>
        <w:lastRenderedPageBreak/>
        <w:br w:type="column"/>
      </w:r>
    </w:p>
    <w:p w:rsidR="00F50E09" w:rsidRDefault="007E52E8">
      <w:pPr>
        <w:pBdr>
          <w:top w:val="nil"/>
          <w:left w:val="nil"/>
          <w:bottom w:val="nil"/>
          <w:right w:val="nil"/>
          <w:between w:val="nil"/>
        </w:pBdr>
        <w:spacing w:after="200"/>
        <w:ind w:firstLine="272"/>
        <w:jc w:val="both"/>
        <w:rPr>
          <w:b/>
          <w:i/>
          <w:color w:val="000000"/>
          <w:sz w:val="18"/>
          <w:szCs w:val="18"/>
        </w:rPr>
      </w:pPr>
      <w:r>
        <w:rPr>
          <w:b/>
          <w:i/>
          <w:color w:val="000000"/>
          <w:sz w:val="18"/>
          <w:szCs w:val="18"/>
        </w:rPr>
        <w:lastRenderedPageBreak/>
        <w:t>Abstract</w:t>
      </w:r>
      <w:r>
        <w:rPr>
          <w:b/>
          <w:color w:val="000000"/>
          <w:sz w:val="18"/>
          <w:szCs w:val="18"/>
        </w:rPr>
        <w:t>—</w:t>
      </w:r>
      <w:proofErr w:type="gramStart"/>
      <w:r>
        <w:rPr>
          <w:b/>
          <w:color w:val="000000"/>
          <w:sz w:val="18"/>
          <w:szCs w:val="18"/>
        </w:rPr>
        <w:t>This</w:t>
      </w:r>
      <w:proofErr w:type="gramEnd"/>
      <w:r>
        <w:rPr>
          <w:b/>
          <w:color w:val="000000"/>
          <w:sz w:val="18"/>
          <w:szCs w:val="18"/>
        </w:rPr>
        <w:t xml:space="preserve"> electronic document is a “live” template and already defines the components of your paper [title, text, heads, etc.] in its style sheet.  </w:t>
      </w:r>
      <w:r>
        <w:rPr>
          <w:b/>
          <w:i/>
          <w:color w:val="000000"/>
          <w:sz w:val="18"/>
          <w:szCs w:val="18"/>
        </w:rPr>
        <w:t>*CRITICAL:  Do Not Use Symbols, Special Characters, Footnotes, or Math in Paper Title or Abstract</w:t>
      </w:r>
      <w:r>
        <w:rPr>
          <w:b/>
          <w:color w:val="000000"/>
          <w:sz w:val="18"/>
          <w:szCs w:val="18"/>
        </w:rPr>
        <w:t>. (</w:t>
      </w:r>
      <w:r>
        <w:rPr>
          <w:i/>
          <w:color w:val="000000"/>
          <w:sz w:val="18"/>
          <w:szCs w:val="18"/>
        </w:rPr>
        <w:t>Abstract</w:t>
      </w:r>
      <w:r>
        <w:rPr>
          <w:b/>
          <w:color w:val="000000"/>
          <w:sz w:val="18"/>
          <w:szCs w:val="18"/>
        </w:rPr>
        <w:t>)</w:t>
      </w:r>
    </w:p>
    <w:p w:rsidR="00F50E09" w:rsidRDefault="007E52E8">
      <w:pPr>
        <w:pBdr>
          <w:top w:val="nil"/>
          <w:left w:val="nil"/>
          <w:bottom w:val="nil"/>
          <w:right w:val="nil"/>
          <w:between w:val="nil"/>
        </w:pBdr>
        <w:spacing w:after="120"/>
        <w:ind w:firstLine="274"/>
        <w:jc w:val="both"/>
        <w:rPr>
          <w:b/>
          <w:i/>
          <w:color w:val="000000"/>
          <w:sz w:val="18"/>
          <w:szCs w:val="18"/>
        </w:rPr>
      </w:pPr>
      <w:r>
        <w:rPr>
          <w:b/>
          <w:i/>
          <w:color w:val="000000"/>
          <w:sz w:val="18"/>
          <w:szCs w:val="18"/>
        </w:rPr>
        <w:t>Ke</w:t>
      </w:r>
      <w:r>
        <w:rPr>
          <w:b/>
          <w:i/>
          <w:color w:val="000000"/>
          <w:sz w:val="18"/>
          <w:szCs w:val="18"/>
        </w:rPr>
        <w:t>ywords—component, formatting, style, styling, insert (</w:t>
      </w:r>
      <w:r>
        <w:rPr>
          <w:i/>
          <w:color w:val="000000"/>
          <w:sz w:val="18"/>
          <w:szCs w:val="18"/>
        </w:rPr>
        <w:t>key words</w:t>
      </w:r>
      <w:r>
        <w:rPr>
          <w:b/>
          <w:i/>
          <w:color w:val="000000"/>
          <w:sz w:val="18"/>
          <w:szCs w:val="18"/>
        </w:rPr>
        <w:t>)</w:t>
      </w:r>
    </w:p>
    <w:p w:rsidR="00F50E09" w:rsidRDefault="007E52E8">
      <w:pPr>
        <w:keepNext/>
        <w:keepLines/>
        <w:numPr>
          <w:ilvl w:val="0"/>
          <w:numId w:val="9"/>
        </w:numPr>
        <w:pBdr>
          <w:top w:val="nil"/>
          <w:left w:val="nil"/>
          <w:bottom w:val="nil"/>
          <w:right w:val="nil"/>
          <w:between w:val="nil"/>
        </w:pBdr>
        <w:tabs>
          <w:tab w:val="left" w:pos="216"/>
          <w:tab w:val="left" w:pos="576"/>
        </w:tabs>
        <w:spacing w:before="160" w:after="80"/>
        <w:jc w:val="center"/>
      </w:pPr>
      <w:r>
        <w:rPr>
          <w:smallCaps/>
          <w:color w:val="000000"/>
          <w:sz w:val="20"/>
          <w:szCs w:val="20"/>
        </w:rPr>
        <w:t>Introduction (</w:t>
      </w:r>
      <w:r>
        <w:rPr>
          <w:i/>
          <w:smallCaps/>
          <w:color w:val="000000"/>
          <w:sz w:val="20"/>
          <w:szCs w:val="20"/>
        </w:rPr>
        <w:t>Heading 1</w:t>
      </w:r>
      <w:r>
        <w:rPr>
          <w:smallCaps/>
          <w:color w:val="000000"/>
          <w:sz w:val="20"/>
          <w:szCs w:val="20"/>
        </w:rPr>
        <w:t>)</w:t>
      </w:r>
    </w:p>
    <w:p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This template, modified in MS Word 2007 and saved as a “Word 97-2003 Document” for the PC, provides authors with most of the formatting specifications needed for preparing electronic versions of their papers. All standard paper components have been specifi</w:t>
      </w:r>
      <w:r>
        <w:rPr>
          <w:color w:val="000000"/>
          <w:sz w:val="20"/>
          <w:szCs w:val="20"/>
        </w:rPr>
        <w:t>ed for three reasons: (1) ease of use when formatting individual papers, (2) automatic compliance to electronic requirements that facilitate the concurrent or later production of electronic products, and (3) conformity of style throughout a conference proc</w:t>
      </w:r>
      <w:r>
        <w:rPr>
          <w:color w:val="000000"/>
          <w:sz w:val="20"/>
          <w:szCs w:val="20"/>
        </w:rPr>
        <w:t>eedings. Margins, column widths, line spacing, and type styles are built-in; examples of the type styles are provided throughout this document and are identified in italic type, within parentheses, following the example. Some components, such as multi-leve</w:t>
      </w:r>
      <w:r>
        <w:rPr>
          <w:color w:val="000000"/>
          <w:sz w:val="20"/>
          <w:szCs w:val="20"/>
        </w:rPr>
        <w:t>led equations, graphics, and tables are not prescribed, although the various table text styles are provided. The formatter will need to create these components, incorporating the applicable criteria that follow.</w:t>
      </w:r>
    </w:p>
    <w:p w:rsidR="00F50E09" w:rsidRDefault="007E52E8">
      <w:pPr>
        <w:keepNext/>
        <w:keepLines/>
        <w:numPr>
          <w:ilvl w:val="0"/>
          <w:numId w:val="9"/>
        </w:numPr>
        <w:pBdr>
          <w:top w:val="nil"/>
          <w:left w:val="nil"/>
          <w:bottom w:val="nil"/>
          <w:right w:val="nil"/>
          <w:between w:val="nil"/>
        </w:pBdr>
        <w:tabs>
          <w:tab w:val="left" w:pos="216"/>
          <w:tab w:val="left" w:pos="576"/>
        </w:tabs>
        <w:spacing w:before="160" w:after="80"/>
        <w:jc w:val="center"/>
      </w:pPr>
      <w:r>
        <w:rPr>
          <w:smallCaps/>
          <w:color w:val="000000"/>
          <w:sz w:val="20"/>
          <w:szCs w:val="20"/>
        </w:rPr>
        <w:t>Ease of Use</w:t>
      </w:r>
    </w:p>
    <w:p w:rsidR="00F50E09" w:rsidRDefault="007E52E8">
      <w:pPr>
        <w:pStyle w:val="Heading2"/>
        <w:numPr>
          <w:ilvl w:val="1"/>
          <w:numId w:val="9"/>
        </w:numPr>
      </w:pPr>
      <w:r>
        <w:t>Selecting a Template (Heading 2)</w:t>
      </w:r>
    </w:p>
    <w:p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First, confirm that you have the correct template for your paper size. This template has been tailored for output on the A4 paper size. If you are using US letter-sized paper, please close this file and download the Microsoft Word, Letter file.</w:t>
      </w:r>
    </w:p>
    <w:p w:rsidR="00F50E09" w:rsidRDefault="007E52E8">
      <w:pPr>
        <w:pStyle w:val="Heading2"/>
        <w:numPr>
          <w:ilvl w:val="1"/>
          <w:numId w:val="9"/>
        </w:numPr>
      </w:pPr>
      <w:r>
        <w:t>Maintainin</w:t>
      </w:r>
      <w:r>
        <w:t>g the Integrity of the Specifications</w:t>
      </w:r>
    </w:p>
    <w:p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The template is used to format your paper and style the text. All margins, column widths, line spaces, and text fonts are prescribed; please do not alter them. You may note peculiarities. For example, the head margin i</w:t>
      </w:r>
      <w:r>
        <w:rPr>
          <w:color w:val="000000"/>
          <w:sz w:val="20"/>
          <w:szCs w:val="20"/>
        </w:rPr>
        <w:t>n this template measures proportionately more than is customary. This measurement and others are deliberate, using specifications that anticipate your paper as one part of the entire proceedings, and not as an independent document. Please do not revise any</w:t>
      </w:r>
      <w:r>
        <w:rPr>
          <w:color w:val="000000"/>
          <w:sz w:val="20"/>
          <w:szCs w:val="20"/>
        </w:rPr>
        <w:t xml:space="preserve"> of the current designations.</w:t>
      </w:r>
    </w:p>
    <w:p w:rsidR="00F50E09" w:rsidRDefault="007E52E8">
      <w:pPr>
        <w:keepNext/>
        <w:keepLines/>
        <w:numPr>
          <w:ilvl w:val="0"/>
          <w:numId w:val="9"/>
        </w:numPr>
        <w:pBdr>
          <w:top w:val="nil"/>
          <w:left w:val="nil"/>
          <w:bottom w:val="nil"/>
          <w:right w:val="nil"/>
          <w:between w:val="nil"/>
        </w:pBdr>
        <w:tabs>
          <w:tab w:val="left" w:pos="216"/>
          <w:tab w:val="left" w:pos="576"/>
        </w:tabs>
        <w:spacing w:before="160" w:after="80"/>
        <w:jc w:val="center"/>
      </w:pPr>
      <w:r>
        <w:rPr>
          <w:smallCaps/>
          <w:color w:val="000000"/>
          <w:sz w:val="20"/>
          <w:szCs w:val="20"/>
        </w:rPr>
        <w:t>Prepare Your Paper Before Styling</w:t>
      </w:r>
    </w:p>
    <w:p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Before you begin to format your paper, first write and save the content as a separate text file. Complete all content and organizational editing before formatting. Please note sections A-D bel</w:t>
      </w:r>
      <w:r>
        <w:rPr>
          <w:color w:val="000000"/>
          <w:sz w:val="20"/>
          <w:szCs w:val="20"/>
        </w:rPr>
        <w:t xml:space="preserve">ow for more information on proofreading, </w:t>
      </w:r>
      <w:proofErr w:type="gramStart"/>
      <w:r>
        <w:rPr>
          <w:color w:val="000000"/>
          <w:sz w:val="20"/>
          <w:szCs w:val="20"/>
        </w:rPr>
        <w:t>spelling</w:t>
      </w:r>
      <w:proofErr w:type="gramEnd"/>
      <w:r>
        <w:rPr>
          <w:color w:val="000000"/>
          <w:sz w:val="20"/>
          <w:szCs w:val="20"/>
        </w:rPr>
        <w:t xml:space="preserve"> and grammar.</w:t>
      </w:r>
    </w:p>
    <w:p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 xml:space="preserve">Keep your text and graphic files separate until after the text has been formatted and styled. Do not use hard tabs, and </w:t>
      </w:r>
      <w:r>
        <w:rPr>
          <w:color w:val="000000"/>
          <w:sz w:val="20"/>
          <w:szCs w:val="20"/>
        </w:rPr>
        <w:lastRenderedPageBreak/>
        <w:t>limit use of hard returns to only one return at the end of a paragraph. D</w:t>
      </w:r>
      <w:r>
        <w:rPr>
          <w:color w:val="000000"/>
          <w:sz w:val="20"/>
          <w:szCs w:val="20"/>
        </w:rPr>
        <w:t xml:space="preserve">o not add any kind of pagination anywhere in the paper. Do not number text heads-the template will do that for </w:t>
      </w:r>
      <w:proofErr w:type="gramStart"/>
      <w:r>
        <w:rPr>
          <w:color w:val="000000"/>
          <w:sz w:val="20"/>
          <w:szCs w:val="20"/>
        </w:rPr>
        <w:t>you.</w:t>
      </w:r>
      <w:proofErr w:type="gramEnd"/>
    </w:p>
    <w:p w:rsidR="00F50E09" w:rsidRDefault="007E52E8">
      <w:pPr>
        <w:pStyle w:val="Heading2"/>
        <w:numPr>
          <w:ilvl w:val="1"/>
          <w:numId w:val="9"/>
        </w:numPr>
      </w:pPr>
      <w:r>
        <w:t>Abbreviations and Acronyms</w:t>
      </w:r>
    </w:p>
    <w:p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 xml:space="preserve">Define abbreviations and acronyms the first time they are used in the text, even after they have been defined in </w:t>
      </w:r>
      <w:r>
        <w:rPr>
          <w:color w:val="000000"/>
          <w:sz w:val="20"/>
          <w:szCs w:val="20"/>
        </w:rPr>
        <w:t xml:space="preserve">the abstract. Abbreviations such as IEEE, SI, MKS, CGS, </w:t>
      </w:r>
      <w:proofErr w:type="spellStart"/>
      <w:r>
        <w:rPr>
          <w:color w:val="000000"/>
          <w:sz w:val="20"/>
          <w:szCs w:val="20"/>
        </w:rPr>
        <w:t>sc</w:t>
      </w:r>
      <w:proofErr w:type="spellEnd"/>
      <w:r>
        <w:rPr>
          <w:color w:val="000000"/>
          <w:sz w:val="20"/>
          <w:szCs w:val="20"/>
        </w:rPr>
        <w:t xml:space="preserve">, dc, and </w:t>
      </w:r>
      <w:proofErr w:type="spellStart"/>
      <w:r>
        <w:rPr>
          <w:color w:val="000000"/>
          <w:sz w:val="20"/>
          <w:szCs w:val="20"/>
        </w:rPr>
        <w:t>rms</w:t>
      </w:r>
      <w:proofErr w:type="spellEnd"/>
      <w:r>
        <w:rPr>
          <w:color w:val="000000"/>
          <w:sz w:val="20"/>
          <w:szCs w:val="20"/>
        </w:rPr>
        <w:t xml:space="preserve"> do not have to be defined. Do not use abbreviations in the title or heads unless they are unavoidable.</w:t>
      </w:r>
    </w:p>
    <w:p w:rsidR="00F50E09" w:rsidRDefault="007E52E8">
      <w:pPr>
        <w:pStyle w:val="Heading2"/>
        <w:numPr>
          <w:ilvl w:val="1"/>
          <w:numId w:val="9"/>
        </w:numPr>
      </w:pPr>
      <w:r>
        <w:t>Units</w:t>
      </w:r>
    </w:p>
    <w:p w:rsidR="00F50E09" w:rsidRDefault="007E52E8">
      <w:pPr>
        <w:numPr>
          <w:ilvl w:val="0"/>
          <w:numId w:val="1"/>
        </w:numPr>
        <w:pBdr>
          <w:top w:val="nil"/>
          <w:left w:val="nil"/>
          <w:bottom w:val="nil"/>
          <w:right w:val="nil"/>
          <w:between w:val="nil"/>
        </w:pBdr>
        <w:tabs>
          <w:tab w:val="left" w:pos="288"/>
        </w:tabs>
        <w:spacing w:after="120" w:line="228" w:lineRule="auto"/>
        <w:jc w:val="both"/>
      </w:pPr>
      <w:r>
        <w:rPr>
          <w:color w:val="000000"/>
          <w:sz w:val="20"/>
          <w:szCs w:val="20"/>
        </w:rPr>
        <w:t>Use either SI (MKS) or CGS as primary units. (SI units are encouraged.) English units may be used as secondary units (in parentheses). An exception would be the use of English units as identifiers in trade, such as “3.5-inch disk drive”.</w:t>
      </w:r>
    </w:p>
    <w:p w:rsidR="00F50E09" w:rsidRDefault="007E52E8">
      <w:pPr>
        <w:numPr>
          <w:ilvl w:val="0"/>
          <w:numId w:val="1"/>
        </w:numPr>
        <w:pBdr>
          <w:top w:val="nil"/>
          <w:left w:val="nil"/>
          <w:bottom w:val="nil"/>
          <w:right w:val="nil"/>
          <w:between w:val="nil"/>
        </w:pBdr>
        <w:tabs>
          <w:tab w:val="left" w:pos="288"/>
        </w:tabs>
        <w:spacing w:after="120" w:line="228" w:lineRule="auto"/>
        <w:jc w:val="both"/>
      </w:pPr>
      <w:r>
        <w:rPr>
          <w:color w:val="000000"/>
          <w:sz w:val="20"/>
          <w:szCs w:val="20"/>
        </w:rPr>
        <w:t>Avoid combining SI</w:t>
      </w:r>
      <w:r>
        <w:rPr>
          <w:color w:val="000000"/>
          <w:sz w:val="20"/>
          <w:szCs w:val="20"/>
        </w:rPr>
        <w:t xml:space="preserve"> and CGS units, such as current in amperes and magnetic field in </w:t>
      </w:r>
      <w:proofErr w:type="spellStart"/>
      <w:r>
        <w:rPr>
          <w:color w:val="000000"/>
          <w:sz w:val="20"/>
          <w:szCs w:val="20"/>
        </w:rPr>
        <w:t>oersteds</w:t>
      </w:r>
      <w:proofErr w:type="spellEnd"/>
      <w:r>
        <w:rPr>
          <w:color w:val="000000"/>
          <w:sz w:val="20"/>
          <w:szCs w:val="20"/>
        </w:rPr>
        <w:t>. This often leads to confusion because equations do not balance dimensionally. If you must use mixed units, clearly state the units for each quantity that you use in an equation.</w:t>
      </w:r>
    </w:p>
    <w:p w:rsidR="00F50E09" w:rsidRDefault="007E52E8">
      <w:pPr>
        <w:numPr>
          <w:ilvl w:val="0"/>
          <w:numId w:val="1"/>
        </w:numPr>
        <w:pBdr>
          <w:top w:val="nil"/>
          <w:left w:val="nil"/>
          <w:bottom w:val="nil"/>
          <w:right w:val="nil"/>
          <w:between w:val="nil"/>
        </w:pBdr>
        <w:tabs>
          <w:tab w:val="left" w:pos="288"/>
        </w:tabs>
        <w:spacing w:after="120" w:line="228" w:lineRule="auto"/>
        <w:jc w:val="both"/>
      </w:pPr>
      <w:r>
        <w:rPr>
          <w:color w:val="000000"/>
          <w:sz w:val="20"/>
          <w:szCs w:val="20"/>
        </w:rPr>
        <w:t xml:space="preserve">Do </w:t>
      </w:r>
      <w:r>
        <w:rPr>
          <w:color w:val="000000"/>
          <w:sz w:val="20"/>
          <w:szCs w:val="20"/>
        </w:rPr>
        <w:t>not mix complete spellings and abbreviations of units: “</w:t>
      </w:r>
      <w:proofErr w:type="spellStart"/>
      <w:r>
        <w:rPr>
          <w:color w:val="000000"/>
          <w:sz w:val="20"/>
          <w:szCs w:val="20"/>
        </w:rPr>
        <w:t>Wb</w:t>
      </w:r>
      <w:proofErr w:type="spellEnd"/>
      <w:r>
        <w:rPr>
          <w:color w:val="000000"/>
          <w:sz w:val="20"/>
          <w:szCs w:val="20"/>
        </w:rPr>
        <w:t>/m2” or “</w:t>
      </w:r>
      <w:proofErr w:type="spellStart"/>
      <w:r>
        <w:rPr>
          <w:color w:val="000000"/>
          <w:sz w:val="20"/>
          <w:szCs w:val="20"/>
        </w:rPr>
        <w:t>webers</w:t>
      </w:r>
      <w:proofErr w:type="spellEnd"/>
      <w:r>
        <w:rPr>
          <w:color w:val="000000"/>
          <w:sz w:val="20"/>
          <w:szCs w:val="20"/>
        </w:rPr>
        <w:t xml:space="preserve"> per square meter”, not “</w:t>
      </w:r>
      <w:proofErr w:type="spellStart"/>
      <w:r>
        <w:rPr>
          <w:color w:val="000000"/>
          <w:sz w:val="20"/>
          <w:szCs w:val="20"/>
        </w:rPr>
        <w:t>webers</w:t>
      </w:r>
      <w:proofErr w:type="spellEnd"/>
      <w:r>
        <w:rPr>
          <w:color w:val="000000"/>
          <w:sz w:val="20"/>
          <w:szCs w:val="20"/>
        </w:rPr>
        <w:t xml:space="preserve">/m2”.  Spell out units when they appear in text: “. . . a few </w:t>
      </w:r>
      <w:proofErr w:type="spellStart"/>
      <w:r>
        <w:rPr>
          <w:color w:val="000000"/>
          <w:sz w:val="20"/>
          <w:szCs w:val="20"/>
        </w:rPr>
        <w:t>henries</w:t>
      </w:r>
      <w:proofErr w:type="spellEnd"/>
      <w:r>
        <w:rPr>
          <w:color w:val="000000"/>
          <w:sz w:val="20"/>
          <w:szCs w:val="20"/>
        </w:rPr>
        <w:t>”, not “. . . a few H”.</w:t>
      </w:r>
    </w:p>
    <w:p w:rsidR="00F50E09" w:rsidRDefault="007E52E8">
      <w:pPr>
        <w:numPr>
          <w:ilvl w:val="0"/>
          <w:numId w:val="1"/>
        </w:numPr>
        <w:pBdr>
          <w:top w:val="nil"/>
          <w:left w:val="nil"/>
          <w:bottom w:val="nil"/>
          <w:right w:val="nil"/>
          <w:between w:val="nil"/>
        </w:pBdr>
        <w:tabs>
          <w:tab w:val="left" w:pos="288"/>
        </w:tabs>
        <w:spacing w:after="120" w:line="228" w:lineRule="auto"/>
        <w:jc w:val="both"/>
      </w:pPr>
      <w:r>
        <w:rPr>
          <w:noProof/>
          <w:color w:val="000000"/>
          <w:sz w:val="20"/>
          <w:szCs w:val="20"/>
          <w:lang w:val="en-IN" w:eastAsia="en-IN" w:bidi="ta-IN"/>
        </w:rPr>
        <mc:AlternateContent>
          <mc:Choice Requires="wpg">
            <w:drawing>
              <wp:anchor distT="152400" distB="152400" distL="152400" distR="152400" simplePos="0" relativeHeight="251658240" behindDoc="0" locked="0" layoutInCell="1" hidden="0" allowOverlap="1">
                <wp:simplePos x="0" y="0"/>
                <wp:positionH relativeFrom="page">
                  <wp:posOffset>571818</wp:posOffset>
                </wp:positionH>
                <wp:positionV relativeFrom="page">
                  <wp:posOffset>9597073</wp:posOffset>
                </wp:positionV>
                <wp:extent cx="3012837" cy="125859"/>
                <wp:effectExtent l="0" t="0" r="0" b="0"/>
                <wp:wrapTopAndBottom distT="152400" distB="152400"/>
                <wp:docPr id="1073741827" name="Rectangle 1073741827" descr="Identify applicable funding agency here. If none, delete this text box."/>
                <wp:cNvGraphicFramePr/>
                <a:graphic xmlns:a="http://schemas.openxmlformats.org/drawingml/2006/main">
                  <a:graphicData uri="http://schemas.microsoft.com/office/word/2010/wordprocessingShape">
                    <wps:wsp>
                      <wps:cNvSpPr/>
                      <wps:spPr>
                        <a:xfrm>
                          <a:off x="3844344" y="3721833"/>
                          <a:ext cx="3003312" cy="116334"/>
                        </a:xfrm>
                        <a:prstGeom prst="rect">
                          <a:avLst/>
                        </a:prstGeom>
                        <a:solidFill>
                          <a:srgbClr val="000000">
                            <a:alpha val="0"/>
                          </a:srgbClr>
                        </a:solidFill>
                        <a:ln>
                          <a:noFill/>
                        </a:ln>
                      </wps:spPr>
                      <wps:txbx>
                        <w:txbxContent>
                          <w:p w:rsidR="00F50E09" w:rsidRDefault="007E52E8">
                            <w:pPr>
                              <w:ind w:firstLine="288"/>
                              <w:jc w:val="center"/>
                              <w:textDirection w:val="btLr"/>
                            </w:pPr>
                            <w:r>
                              <w:rPr>
                                <w:color w:val="000000"/>
                                <w:sz w:val="16"/>
                              </w:rPr>
                              <w:t>Identify applicable funding agency here. If none, delete</w:t>
                            </w:r>
                            <w:r>
                              <w:rPr>
                                <w:color w:val="000000"/>
                                <w:sz w:val="16"/>
                              </w:rPr>
                              <w:t xml:space="preserve"> this text box.</w:t>
                            </w:r>
                          </w:p>
                        </w:txbxContent>
                      </wps:txbx>
                      <wps:bodyPr spcFirstLastPara="1" wrap="square" lIns="0" tIns="0" rIns="0" bIns="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52400" distT="152400" distL="152400" distR="152400" hidden="0" layoutInCell="1" locked="0" relativeHeight="0" simplePos="0">
                <wp:simplePos x="0" y="0"/>
                <wp:positionH relativeFrom="page">
                  <wp:posOffset>571818</wp:posOffset>
                </wp:positionH>
                <wp:positionV relativeFrom="page">
                  <wp:posOffset>9597073</wp:posOffset>
                </wp:positionV>
                <wp:extent cx="3012837" cy="125859"/>
                <wp:effectExtent b="0" l="0" r="0" t="0"/>
                <wp:wrapTopAndBottom distB="152400" distT="152400"/>
                <wp:docPr descr="Identify applicable funding agency here. If none, delete this text box." id="1073741827" name="image1.png"/>
                <a:graphic>
                  <a:graphicData uri="http://schemas.openxmlformats.org/drawingml/2006/picture">
                    <pic:pic>
                      <pic:nvPicPr>
                        <pic:cNvPr descr="Identify applicable funding agency here. If none, delete this text box." id="0" name="image1.png"/>
                        <pic:cNvPicPr preferRelativeResize="0"/>
                      </pic:nvPicPr>
                      <pic:blipFill>
                        <a:blip r:embed="rId12"/>
                        <a:srcRect/>
                        <a:stretch>
                          <a:fillRect/>
                        </a:stretch>
                      </pic:blipFill>
                      <pic:spPr>
                        <a:xfrm>
                          <a:off x="0" y="0"/>
                          <a:ext cx="3012837" cy="125859"/>
                        </a:xfrm>
                        <a:prstGeom prst="rect"/>
                        <a:ln/>
                      </pic:spPr>
                    </pic:pic>
                  </a:graphicData>
                </a:graphic>
              </wp:anchor>
            </w:drawing>
          </mc:Fallback>
        </mc:AlternateContent>
      </w:r>
      <w:r>
        <w:rPr>
          <w:color w:val="000000"/>
          <w:sz w:val="20"/>
          <w:szCs w:val="20"/>
        </w:rPr>
        <w:t>Use a zero before decimal points: “0.25”, not “.25”. Use “cm3”, not “cc”. (</w:t>
      </w:r>
      <w:r>
        <w:rPr>
          <w:i/>
          <w:color w:val="000000"/>
          <w:sz w:val="20"/>
          <w:szCs w:val="20"/>
        </w:rPr>
        <w:t>bullet list</w:t>
      </w:r>
      <w:r>
        <w:rPr>
          <w:color w:val="000000"/>
          <w:sz w:val="20"/>
          <w:szCs w:val="20"/>
        </w:rPr>
        <w:t>)</w:t>
      </w:r>
    </w:p>
    <w:p w:rsidR="00F50E09" w:rsidRDefault="007E52E8">
      <w:pPr>
        <w:pStyle w:val="Heading2"/>
        <w:numPr>
          <w:ilvl w:val="1"/>
          <w:numId w:val="2"/>
        </w:numPr>
      </w:pPr>
      <w:r>
        <w:t>Equations</w:t>
      </w:r>
    </w:p>
    <w:p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The equations are an exception to the prescribed specifications of this template. You will need to determine whether or not your equation should be typed using either the Times New Roman or the Symbol font (please no other font). To create multileveled equ</w:t>
      </w:r>
      <w:r>
        <w:rPr>
          <w:color w:val="000000"/>
          <w:sz w:val="20"/>
          <w:szCs w:val="20"/>
        </w:rPr>
        <w:t>ations, it may be necessary to treat the equation as a graphic and insert it into the text after your paper is styled.</w:t>
      </w:r>
    </w:p>
    <w:p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 xml:space="preserve">Number equations consecutively. Equation numbers, within parentheses, are to position flush right, as in (1), using a right tab stop. To </w:t>
      </w:r>
      <w:r>
        <w:rPr>
          <w:color w:val="000000"/>
          <w:sz w:val="20"/>
          <w:szCs w:val="20"/>
        </w:rPr>
        <w:t xml:space="preserve">make your equations more compact, you may use the solidus </w:t>
      </w:r>
      <w:proofErr w:type="gramStart"/>
      <w:r>
        <w:rPr>
          <w:color w:val="000000"/>
          <w:sz w:val="20"/>
          <w:szCs w:val="20"/>
        </w:rPr>
        <w:t>( /</w:t>
      </w:r>
      <w:proofErr w:type="gramEnd"/>
      <w:r>
        <w:rPr>
          <w:color w:val="000000"/>
          <w:sz w:val="20"/>
          <w:szCs w:val="20"/>
        </w:rPr>
        <w:t xml:space="preserve"> ), the </w:t>
      </w:r>
      <w:proofErr w:type="spellStart"/>
      <w:r>
        <w:rPr>
          <w:color w:val="000000"/>
          <w:sz w:val="20"/>
          <w:szCs w:val="20"/>
        </w:rPr>
        <w:t>exp</w:t>
      </w:r>
      <w:proofErr w:type="spellEnd"/>
      <w:r>
        <w:rPr>
          <w:color w:val="000000"/>
          <w:sz w:val="20"/>
          <w:szCs w:val="20"/>
        </w:rPr>
        <w:t xml:space="preserve"> function, or appropriate exponents. Italicize Roman symbols for quantities and variables, but not Greek symbols. Use a long dash rather than a hyphen for a minus sign. Punctuate equat</w:t>
      </w:r>
      <w:r>
        <w:rPr>
          <w:color w:val="000000"/>
          <w:sz w:val="20"/>
          <w:szCs w:val="20"/>
        </w:rPr>
        <w:t>ions with commas or periods when they are part of a sentence, as in:</w:t>
      </w:r>
    </w:p>
    <w:p w:rsidR="00F50E09" w:rsidRDefault="007E52E8">
      <w:pPr>
        <w:pBdr>
          <w:top w:val="nil"/>
          <w:left w:val="nil"/>
          <w:bottom w:val="nil"/>
          <w:right w:val="nil"/>
          <w:between w:val="nil"/>
        </w:pBdr>
        <w:tabs>
          <w:tab w:val="center" w:pos="2520"/>
          <w:tab w:val="right" w:pos="5040"/>
        </w:tabs>
        <w:spacing w:before="240" w:after="240" w:line="216" w:lineRule="auto"/>
        <w:jc w:val="center"/>
        <w:rPr>
          <w:rFonts w:ascii="Noto Sans Symbols" w:eastAsia="Noto Sans Symbols" w:hAnsi="Noto Sans Symbols" w:cs="Noto Sans Symbols"/>
          <w:color w:val="000000"/>
          <w:sz w:val="20"/>
          <w:szCs w:val="20"/>
        </w:rPr>
      </w:pPr>
      <w:r>
        <w:rPr>
          <w:rFonts w:ascii="Noto Sans Symbols" w:eastAsia="Noto Sans Symbols" w:hAnsi="Noto Sans Symbols" w:cs="Noto Sans Symbols"/>
          <w:color w:val="000000"/>
          <w:sz w:val="20"/>
          <w:szCs w:val="20"/>
        </w:rPr>
        <w:tab/>
      </w:r>
      <w:r>
        <w:rPr>
          <w:i/>
          <w:color w:val="000000"/>
          <w:sz w:val="20"/>
          <w:szCs w:val="20"/>
        </w:rPr>
        <w:t>a</w:t>
      </w:r>
      <w:r>
        <w:rPr>
          <w:rFonts w:ascii="Noto Sans Symbols" w:eastAsia="Noto Sans Symbols" w:hAnsi="Noto Sans Symbols" w:cs="Noto Sans Symbols"/>
          <w:color w:val="000000"/>
          <w:sz w:val="20"/>
          <w:szCs w:val="20"/>
        </w:rPr>
        <w:t xml:space="preserve"> + </w:t>
      </w:r>
      <w:proofErr w:type="gramStart"/>
      <w:r>
        <w:rPr>
          <w:i/>
          <w:color w:val="000000"/>
          <w:sz w:val="20"/>
          <w:szCs w:val="20"/>
        </w:rPr>
        <w:t>b</w:t>
      </w:r>
      <w:r>
        <w:rPr>
          <w:rFonts w:ascii="Noto Sans Symbols" w:eastAsia="Noto Sans Symbols" w:hAnsi="Noto Sans Symbols" w:cs="Noto Sans Symbols"/>
          <w:color w:val="000000"/>
          <w:sz w:val="20"/>
          <w:szCs w:val="20"/>
        </w:rPr>
        <w:t xml:space="preserve">  =</w:t>
      </w:r>
      <w:proofErr w:type="gramEnd"/>
      <w:r>
        <w:rPr>
          <w:rFonts w:ascii="Noto Sans Symbols" w:eastAsia="Noto Sans Symbols" w:hAnsi="Noto Sans Symbols" w:cs="Noto Sans Symbols"/>
          <w:color w:val="000000"/>
          <w:sz w:val="20"/>
          <w:szCs w:val="20"/>
        </w:rPr>
        <w:t xml:space="preserve"> g</w:t>
      </w:r>
      <w:r>
        <w:rPr>
          <w:rFonts w:ascii="Noto Sans Symbols" w:eastAsia="Noto Sans Symbols" w:hAnsi="Noto Sans Symbols" w:cs="Noto Sans Symbols"/>
          <w:color w:val="000000"/>
          <w:sz w:val="20"/>
          <w:szCs w:val="20"/>
        </w:rPr>
        <w:tab/>
        <w:t>(1)</w:t>
      </w:r>
    </w:p>
    <w:p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 xml:space="preserve">Note that the equation is centered using a center tab stop. Be sure that the symbols in your equation have been defined </w:t>
      </w:r>
      <w:r>
        <w:rPr>
          <w:color w:val="000000"/>
          <w:sz w:val="20"/>
          <w:szCs w:val="20"/>
        </w:rPr>
        <w:lastRenderedPageBreak/>
        <w:t>before or immediately following the equation. Use “(1)”, not “Eq. (1)” or “equation (1)”, except at the beginning of a sentence: “Equati</w:t>
      </w:r>
      <w:r>
        <w:rPr>
          <w:color w:val="000000"/>
          <w:sz w:val="20"/>
          <w:szCs w:val="20"/>
        </w:rPr>
        <w:t>on (1) is . . .”</w:t>
      </w:r>
    </w:p>
    <w:p w:rsidR="00F50E09" w:rsidRDefault="007E52E8">
      <w:pPr>
        <w:pStyle w:val="Heading2"/>
        <w:numPr>
          <w:ilvl w:val="1"/>
          <w:numId w:val="2"/>
        </w:numPr>
      </w:pPr>
      <w:r>
        <w:t>Some Common Mistakes</w:t>
      </w:r>
    </w:p>
    <w:p w:rsidR="00F50E09" w:rsidRDefault="007E52E8">
      <w:pPr>
        <w:numPr>
          <w:ilvl w:val="0"/>
          <w:numId w:val="1"/>
        </w:numPr>
        <w:pBdr>
          <w:top w:val="nil"/>
          <w:left w:val="nil"/>
          <w:bottom w:val="nil"/>
          <w:right w:val="nil"/>
          <w:between w:val="nil"/>
        </w:pBdr>
        <w:tabs>
          <w:tab w:val="left" w:pos="288"/>
        </w:tabs>
        <w:spacing w:after="120" w:line="228" w:lineRule="auto"/>
        <w:jc w:val="both"/>
      </w:pPr>
      <w:r>
        <w:rPr>
          <w:color w:val="000000"/>
          <w:sz w:val="20"/>
          <w:szCs w:val="20"/>
        </w:rPr>
        <w:t>The word “data” is plural, not singular.</w:t>
      </w:r>
    </w:p>
    <w:p w:rsidR="00F50E09" w:rsidRDefault="007E52E8">
      <w:pPr>
        <w:numPr>
          <w:ilvl w:val="0"/>
          <w:numId w:val="1"/>
        </w:numPr>
        <w:pBdr>
          <w:top w:val="nil"/>
          <w:left w:val="nil"/>
          <w:bottom w:val="nil"/>
          <w:right w:val="nil"/>
          <w:between w:val="nil"/>
        </w:pBdr>
        <w:tabs>
          <w:tab w:val="left" w:pos="288"/>
        </w:tabs>
        <w:spacing w:after="120" w:line="228" w:lineRule="auto"/>
        <w:jc w:val="both"/>
      </w:pPr>
      <w:r>
        <w:rPr>
          <w:color w:val="000000"/>
          <w:sz w:val="20"/>
          <w:szCs w:val="20"/>
        </w:rPr>
        <w:t xml:space="preserve">The subscript for the permeability of vacuum </w:t>
      </w:r>
      <w:r>
        <w:rPr>
          <w:rFonts w:ascii="Noto Sans Symbols" w:eastAsia="Noto Sans Symbols" w:hAnsi="Noto Sans Symbols" w:cs="Noto Sans Symbols"/>
          <w:color w:val="000000"/>
          <w:sz w:val="20"/>
          <w:szCs w:val="20"/>
        </w:rPr>
        <w:t>μ</w:t>
      </w:r>
      <w:r>
        <w:rPr>
          <w:color w:val="000000"/>
          <w:sz w:val="20"/>
          <w:szCs w:val="20"/>
          <w:vertAlign w:val="subscript"/>
        </w:rPr>
        <w:t>0</w:t>
      </w:r>
      <w:r>
        <w:rPr>
          <w:color w:val="000000"/>
          <w:sz w:val="20"/>
          <w:szCs w:val="20"/>
        </w:rPr>
        <w:t>, and other common scientific constants, is zero with subscript formatting, not a lowercase letter “o”.</w:t>
      </w:r>
    </w:p>
    <w:p w:rsidR="00F50E09" w:rsidRDefault="007E52E8">
      <w:pPr>
        <w:numPr>
          <w:ilvl w:val="0"/>
          <w:numId w:val="1"/>
        </w:numPr>
        <w:pBdr>
          <w:top w:val="nil"/>
          <w:left w:val="nil"/>
          <w:bottom w:val="nil"/>
          <w:right w:val="nil"/>
          <w:between w:val="nil"/>
        </w:pBdr>
        <w:tabs>
          <w:tab w:val="left" w:pos="288"/>
        </w:tabs>
        <w:spacing w:after="120" w:line="228" w:lineRule="auto"/>
        <w:jc w:val="both"/>
      </w:pPr>
      <w:r>
        <w:rPr>
          <w:color w:val="000000"/>
          <w:sz w:val="20"/>
          <w:szCs w:val="20"/>
        </w:rPr>
        <w:t>In American English, commas, semicolons, periods, question and exclamation marks are located within quotation marks only when a complete thought or name is cited, such as a title or full quotation. When quotation marks are used, instead of a bold or italic</w:t>
      </w:r>
      <w:r>
        <w:rPr>
          <w:color w:val="000000"/>
          <w:sz w:val="20"/>
          <w:szCs w:val="20"/>
        </w:rPr>
        <w:t xml:space="preserve"> typeface, to highlight a word or phrase, punctuation should appear outside of the quotation marks. A parenthetical phrase or statement at the end of a sentence is punctuated outside of the closing parenthesis (like this). (A parenthetical sentence is punc</w:t>
      </w:r>
      <w:r>
        <w:rPr>
          <w:color w:val="000000"/>
          <w:sz w:val="20"/>
          <w:szCs w:val="20"/>
        </w:rPr>
        <w:t>tuated within the parentheses.)</w:t>
      </w:r>
    </w:p>
    <w:p w:rsidR="00F50E09" w:rsidRDefault="007E52E8">
      <w:pPr>
        <w:numPr>
          <w:ilvl w:val="0"/>
          <w:numId w:val="1"/>
        </w:numPr>
        <w:pBdr>
          <w:top w:val="nil"/>
          <w:left w:val="nil"/>
          <w:bottom w:val="nil"/>
          <w:right w:val="nil"/>
          <w:between w:val="nil"/>
        </w:pBdr>
        <w:tabs>
          <w:tab w:val="left" w:pos="288"/>
        </w:tabs>
        <w:spacing w:after="120" w:line="228" w:lineRule="auto"/>
        <w:jc w:val="both"/>
      </w:pPr>
      <w:r>
        <w:rPr>
          <w:color w:val="000000"/>
          <w:sz w:val="20"/>
          <w:szCs w:val="20"/>
        </w:rPr>
        <w:t>A graph within a graph is an “inset”, not an “insert”. The word alternatively is preferred to the word “alternately” (unless you really mean something that alternates).</w:t>
      </w:r>
    </w:p>
    <w:p w:rsidR="00F50E09" w:rsidRDefault="007E52E8">
      <w:pPr>
        <w:numPr>
          <w:ilvl w:val="0"/>
          <w:numId w:val="1"/>
        </w:numPr>
        <w:pBdr>
          <w:top w:val="nil"/>
          <w:left w:val="nil"/>
          <w:bottom w:val="nil"/>
          <w:right w:val="nil"/>
          <w:between w:val="nil"/>
        </w:pBdr>
        <w:tabs>
          <w:tab w:val="left" w:pos="288"/>
        </w:tabs>
        <w:spacing w:after="120" w:line="228" w:lineRule="auto"/>
        <w:jc w:val="both"/>
      </w:pPr>
      <w:r>
        <w:rPr>
          <w:color w:val="000000"/>
          <w:sz w:val="20"/>
          <w:szCs w:val="20"/>
        </w:rPr>
        <w:t>Do not use the word “essentially” to mean “approximatel</w:t>
      </w:r>
      <w:r>
        <w:rPr>
          <w:color w:val="000000"/>
          <w:sz w:val="20"/>
          <w:szCs w:val="20"/>
        </w:rPr>
        <w:t>y” or “effectively”.</w:t>
      </w:r>
    </w:p>
    <w:p w:rsidR="00F50E09" w:rsidRDefault="007E52E8">
      <w:pPr>
        <w:numPr>
          <w:ilvl w:val="0"/>
          <w:numId w:val="1"/>
        </w:numPr>
        <w:pBdr>
          <w:top w:val="nil"/>
          <w:left w:val="nil"/>
          <w:bottom w:val="nil"/>
          <w:right w:val="nil"/>
          <w:between w:val="nil"/>
        </w:pBdr>
        <w:tabs>
          <w:tab w:val="left" w:pos="288"/>
        </w:tabs>
        <w:spacing w:after="120" w:line="228" w:lineRule="auto"/>
        <w:jc w:val="both"/>
      </w:pPr>
      <w:r>
        <w:rPr>
          <w:color w:val="000000"/>
          <w:sz w:val="20"/>
          <w:szCs w:val="20"/>
        </w:rPr>
        <w:t>In your paper title, if the words “that uses” can accurately replace the word “using”, capitalize the “u”; if not, keep using lower-cased.</w:t>
      </w:r>
    </w:p>
    <w:p w:rsidR="00F50E09" w:rsidRDefault="007E52E8">
      <w:pPr>
        <w:numPr>
          <w:ilvl w:val="0"/>
          <w:numId w:val="1"/>
        </w:numPr>
        <w:pBdr>
          <w:top w:val="nil"/>
          <w:left w:val="nil"/>
          <w:bottom w:val="nil"/>
          <w:right w:val="nil"/>
          <w:between w:val="nil"/>
        </w:pBdr>
        <w:tabs>
          <w:tab w:val="left" w:pos="288"/>
        </w:tabs>
        <w:spacing w:after="120" w:line="228" w:lineRule="auto"/>
        <w:jc w:val="both"/>
      </w:pPr>
      <w:r>
        <w:rPr>
          <w:color w:val="000000"/>
          <w:sz w:val="20"/>
          <w:szCs w:val="20"/>
        </w:rPr>
        <w:t>Be aware of the different meanings of the homophones “affect” and “effect”, “complement” and “compliment”, “discreet” and “discrete”, “principal” and “principle”.</w:t>
      </w:r>
    </w:p>
    <w:p w:rsidR="00F50E09" w:rsidRDefault="007E52E8">
      <w:pPr>
        <w:numPr>
          <w:ilvl w:val="0"/>
          <w:numId w:val="1"/>
        </w:numPr>
        <w:pBdr>
          <w:top w:val="nil"/>
          <w:left w:val="nil"/>
          <w:bottom w:val="nil"/>
          <w:right w:val="nil"/>
          <w:between w:val="nil"/>
        </w:pBdr>
        <w:tabs>
          <w:tab w:val="left" w:pos="288"/>
        </w:tabs>
        <w:spacing w:after="120" w:line="228" w:lineRule="auto"/>
        <w:jc w:val="both"/>
      </w:pPr>
      <w:r>
        <w:rPr>
          <w:color w:val="000000"/>
          <w:sz w:val="20"/>
          <w:szCs w:val="20"/>
        </w:rPr>
        <w:t>Do not confuse “imply” and “infer”.</w:t>
      </w:r>
    </w:p>
    <w:p w:rsidR="00F50E09" w:rsidRDefault="007E52E8">
      <w:pPr>
        <w:numPr>
          <w:ilvl w:val="0"/>
          <w:numId w:val="1"/>
        </w:numPr>
        <w:pBdr>
          <w:top w:val="nil"/>
          <w:left w:val="nil"/>
          <w:bottom w:val="nil"/>
          <w:right w:val="nil"/>
          <w:between w:val="nil"/>
        </w:pBdr>
        <w:tabs>
          <w:tab w:val="left" w:pos="288"/>
        </w:tabs>
        <w:spacing w:after="120" w:line="228" w:lineRule="auto"/>
        <w:jc w:val="both"/>
      </w:pPr>
      <w:r>
        <w:rPr>
          <w:color w:val="000000"/>
          <w:sz w:val="20"/>
          <w:szCs w:val="20"/>
        </w:rPr>
        <w:t>The prefix “</w:t>
      </w:r>
      <w:proofErr w:type="gramStart"/>
      <w:r>
        <w:rPr>
          <w:color w:val="000000"/>
          <w:sz w:val="20"/>
          <w:szCs w:val="20"/>
        </w:rPr>
        <w:t>non</w:t>
      </w:r>
      <w:proofErr w:type="gramEnd"/>
      <w:r>
        <w:rPr>
          <w:color w:val="000000"/>
          <w:sz w:val="20"/>
          <w:szCs w:val="20"/>
        </w:rPr>
        <w:t>” is not a word; it should be joined to th</w:t>
      </w:r>
      <w:r>
        <w:rPr>
          <w:color w:val="000000"/>
          <w:sz w:val="20"/>
          <w:szCs w:val="20"/>
        </w:rPr>
        <w:t>e word it modifies, usually without a hyphen.</w:t>
      </w:r>
    </w:p>
    <w:p w:rsidR="00F50E09" w:rsidRDefault="007E52E8">
      <w:pPr>
        <w:numPr>
          <w:ilvl w:val="0"/>
          <w:numId w:val="1"/>
        </w:numPr>
        <w:pBdr>
          <w:top w:val="nil"/>
          <w:left w:val="nil"/>
          <w:bottom w:val="nil"/>
          <w:right w:val="nil"/>
          <w:between w:val="nil"/>
        </w:pBdr>
        <w:tabs>
          <w:tab w:val="left" w:pos="288"/>
        </w:tabs>
        <w:spacing w:after="120" w:line="228" w:lineRule="auto"/>
        <w:jc w:val="both"/>
      </w:pPr>
      <w:r>
        <w:rPr>
          <w:color w:val="000000"/>
          <w:sz w:val="20"/>
          <w:szCs w:val="20"/>
        </w:rPr>
        <w:t>There is no period after the “et” in the Latin abbreviation “et al.</w:t>
      </w:r>
      <w:proofErr w:type="gramStart"/>
      <w:r>
        <w:rPr>
          <w:color w:val="000000"/>
          <w:sz w:val="20"/>
          <w:szCs w:val="20"/>
        </w:rPr>
        <w:t>”.</w:t>
      </w:r>
      <w:proofErr w:type="gramEnd"/>
    </w:p>
    <w:p w:rsidR="00F50E09" w:rsidRDefault="007E52E8">
      <w:pPr>
        <w:numPr>
          <w:ilvl w:val="0"/>
          <w:numId w:val="1"/>
        </w:numPr>
        <w:pBdr>
          <w:top w:val="nil"/>
          <w:left w:val="nil"/>
          <w:bottom w:val="nil"/>
          <w:right w:val="nil"/>
          <w:between w:val="nil"/>
        </w:pBdr>
        <w:tabs>
          <w:tab w:val="left" w:pos="288"/>
        </w:tabs>
        <w:spacing w:after="120" w:line="228" w:lineRule="auto"/>
        <w:jc w:val="both"/>
      </w:pPr>
      <w:r>
        <w:rPr>
          <w:color w:val="000000"/>
          <w:sz w:val="20"/>
          <w:szCs w:val="20"/>
        </w:rPr>
        <w:t>The abbreviation “i.e.” means “that is”, and the abbreviation “e.g.” means “for example”.</w:t>
      </w:r>
    </w:p>
    <w:p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An excellent style manual for science writers is [</w:t>
      </w:r>
      <w:r>
        <w:rPr>
          <w:color w:val="000000"/>
          <w:sz w:val="20"/>
          <w:szCs w:val="20"/>
        </w:rPr>
        <w:t>7].</w:t>
      </w:r>
    </w:p>
    <w:p w:rsidR="00F50E09" w:rsidRDefault="007E52E8">
      <w:pPr>
        <w:keepNext/>
        <w:keepLines/>
        <w:numPr>
          <w:ilvl w:val="0"/>
          <w:numId w:val="3"/>
        </w:numPr>
        <w:pBdr>
          <w:top w:val="nil"/>
          <w:left w:val="nil"/>
          <w:bottom w:val="nil"/>
          <w:right w:val="nil"/>
          <w:between w:val="nil"/>
        </w:pBdr>
        <w:tabs>
          <w:tab w:val="left" w:pos="216"/>
          <w:tab w:val="left" w:pos="576"/>
        </w:tabs>
        <w:spacing w:before="160" w:after="80"/>
        <w:jc w:val="center"/>
      </w:pPr>
      <w:r>
        <w:rPr>
          <w:smallCaps/>
          <w:color w:val="000000"/>
          <w:sz w:val="20"/>
          <w:szCs w:val="20"/>
        </w:rPr>
        <w:t>Using the Template</w:t>
      </w:r>
    </w:p>
    <w:p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After the text edit has been completed, the paper is ready for the template. Duplicate the template file by using the Save As command, and use the naming convention prescribed by your conference for the name of your paper. In this newly created file, highl</w:t>
      </w:r>
      <w:r>
        <w:rPr>
          <w:color w:val="000000"/>
          <w:sz w:val="20"/>
          <w:szCs w:val="20"/>
        </w:rPr>
        <w:t xml:space="preserve">ight all of the contents and import your prepared text file. You are now ready to style your paper; use </w:t>
      </w:r>
      <w:r>
        <w:rPr>
          <w:color w:val="000000"/>
          <w:sz w:val="20"/>
          <w:szCs w:val="20"/>
        </w:rPr>
        <w:lastRenderedPageBreak/>
        <w:t>the scroll down window on the left of the MS Word Formatting toolbar.</w:t>
      </w:r>
    </w:p>
    <w:p w:rsidR="00F50E09" w:rsidRDefault="007E52E8">
      <w:pPr>
        <w:pStyle w:val="Heading2"/>
        <w:numPr>
          <w:ilvl w:val="1"/>
          <w:numId w:val="3"/>
        </w:numPr>
      </w:pPr>
      <w:r>
        <w:t>Authors and Affiliations</w:t>
      </w:r>
    </w:p>
    <w:p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b/>
          <w:color w:val="000000"/>
          <w:sz w:val="20"/>
          <w:szCs w:val="20"/>
        </w:rPr>
        <w:t>The template is designed for, but not limited to, six aut</w:t>
      </w:r>
      <w:r>
        <w:rPr>
          <w:b/>
          <w:color w:val="000000"/>
          <w:sz w:val="20"/>
          <w:szCs w:val="20"/>
        </w:rPr>
        <w:t>hors.</w:t>
      </w:r>
      <w:r>
        <w:rPr>
          <w:color w:val="000000"/>
          <w:sz w:val="20"/>
          <w:szCs w:val="20"/>
        </w:rPr>
        <w:t xml:space="preserve"> A minimum of one author is required for all conference articles. Author names should be listed starting from left to right and then moving down to the next line. This is the author sequence that will be used in future citations and by indexing servic</w:t>
      </w:r>
      <w:r>
        <w:rPr>
          <w:color w:val="000000"/>
          <w:sz w:val="20"/>
          <w:szCs w:val="20"/>
        </w:rPr>
        <w:t>es. Names should not be listed in columns nor group by affiliation. Please keep your affiliations as succinct as possible (for example, do not differentiate among departments of the same organization).</w:t>
      </w:r>
    </w:p>
    <w:p w:rsidR="00F50E09" w:rsidRDefault="007E52E8">
      <w:pPr>
        <w:pStyle w:val="Heading3"/>
        <w:numPr>
          <w:ilvl w:val="2"/>
          <w:numId w:val="3"/>
        </w:numPr>
      </w:pPr>
      <w:r>
        <w:t xml:space="preserve">For papers with more than six authors: </w:t>
      </w:r>
      <w:r>
        <w:rPr>
          <w:i w:val="0"/>
        </w:rPr>
        <w:t>Add author name</w:t>
      </w:r>
      <w:r>
        <w:rPr>
          <w:i w:val="0"/>
        </w:rPr>
        <w:t>s horizontally, moving to a third row if needed for more than 8 authors.</w:t>
      </w:r>
    </w:p>
    <w:p w:rsidR="00F50E09" w:rsidRDefault="007E52E8">
      <w:pPr>
        <w:pStyle w:val="Heading3"/>
        <w:numPr>
          <w:ilvl w:val="2"/>
          <w:numId w:val="3"/>
        </w:numPr>
      </w:pPr>
      <w:r>
        <w:t xml:space="preserve">For papers with less than six authors: </w:t>
      </w:r>
      <w:r>
        <w:rPr>
          <w:i w:val="0"/>
        </w:rPr>
        <w:t>To change the default, adjust the template as follows.</w:t>
      </w:r>
    </w:p>
    <w:p w:rsidR="00F50E09" w:rsidRDefault="007E52E8">
      <w:pPr>
        <w:pStyle w:val="Heading4"/>
        <w:numPr>
          <w:ilvl w:val="3"/>
          <w:numId w:val="3"/>
        </w:numPr>
      </w:pPr>
      <w:r>
        <w:t xml:space="preserve">Selection: </w:t>
      </w:r>
      <w:r>
        <w:rPr>
          <w:i w:val="0"/>
        </w:rPr>
        <w:t>Highlight all author and affiliation lines.</w:t>
      </w:r>
    </w:p>
    <w:p w:rsidR="00F50E09" w:rsidRDefault="007E52E8">
      <w:pPr>
        <w:pStyle w:val="Heading4"/>
        <w:numPr>
          <w:ilvl w:val="3"/>
          <w:numId w:val="3"/>
        </w:numPr>
      </w:pPr>
      <w:r>
        <w:t xml:space="preserve">Change number of columns: </w:t>
      </w:r>
      <w:r>
        <w:rPr>
          <w:i w:val="0"/>
        </w:rPr>
        <w:t>Select the Columns icon from the MS Word Standard toolbar and then select the correct number of columns from the selection palette.</w:t>
      </w:r>
    </w:p>
    <w:p w:rsidR="00F50E09" w:rsidRDefault="007E52E8">
      <w:pPr>
        <w:pStyle w:val="Heading4"/>
        <w:numPr>
          <w:ilvl w:val="3"/>
          <w:numId w:val="3"/>
        </w:numPr>
        <w:rPr>
          <w:i w:val="0"/>
        </w:rPr>
      </w:pPr>
      <w:r>
        <w:t xml:space="preserve">Deletion: </w:t>
      </w:r>
      <w:r>
        <w:rPr>
          <w:i w:val="0"/>
        </w:rPr>
        <w:t xml:space="preserve">Delete the author and affiliation lines for </w:t>
      </w:r>
      <w:proofErr w:type="gramStart"/>
      <w:r>
        <w:rPr>
          <w:i w:val="0"/>
        </w:rPr>
        <w:t>the</w:t>
      </w:r>
      <w:proofErr w:type="gramEnd"/>
      <w:r>
        <w:rPr>
          <w:i w:val="0"/>
        </w:rPr>
        <w:t xml:space="preserve"> extra authors.</w:t>
      </w:r>
    </w:p>
    <w:p w:rsidR="00F50E09" w:rsidRDefault="00F50E09">
      <w:pPr>
        <w:pBdr>
          <w:top w:val="nil"/>
          <w:left w:val="nil"/>
          <w:bottom w:val="nil"/>
          <w:right w:val="nil"/>
          <w:between w:val="nil"/>
        </w:pBdr>
        <w:rPr>
          <w:i/>
          <w:color w:val="000000"/>
          <w:sz w:val="20"/>
          <w:szCs w:val="20"/>
        </w:rPr>
      </w:pPr>
    </w:p>
    <w:p w:rsidR="00F50E09" w:rsidRDefault="007E52E8">
      <w:pPr>
        <w:pStyle w:val="Heading2"/>
        <w:numPr>
          <w:ilvl w:val="1"/>
          <w:numId w:val="3"/>
        </w:numPr>
      </w:pPr>
      <w:r>
        <w:t>Identify the Headings</w:t>
      </w:r>
    </w:p>
    <w:p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Headings, or heads, are orga</w:t>
      </w:r>
      <w:r>
        <w:rPr>
          <w:color w:val="000000"/>
          <w:sz w:val="20"/>
          <w:szCs w:val="20"/>
        </w:rPr>
        <w:t>nizational devices that guide the reader through your paper. There are two types: component heads and text heads.</w:t>
      </w:r>
    </w:p>
    <w:p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Component heads identify the different components of your paper and are not topically subordinate to each other. Examples include Acknowledgme</w:t>
      </w:r>
      <w:r>
        <w:rPr>
          <w:color w:val="000000"/>
          <w:sz w:val="20"/>
          <w:szCs w:val="20"/>
        </w:rPr>
        <w:t xml:space="preserve">nts and References and, for these, the correct style to use is “Heading 5”. Use “figure caption” for your Figure captions, and “table head” for your table title. Run-in heads, such as “Abstract”, will require you to apply a style (in this case, italic) in </w:t>
      </w:r>
      <w:r>
        <w:rPr>
          <w:color w:val="000000"/>
          <w:sz w:val="20"/>
          <w:szCs w:val="20"/>
        </w:rPr>
        <w:t>addition to the style provided by the drop down menu to differentiate the head from the text.</w:t>
      </w:r>
    </w:p>
    <w:p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 xml:space="preserve">Text heads organize the topics on a relational, hierarchical basis. For example, the paper title is the primary text head because all subsequent material relates </w:t>
      </w:r>
      <w:r>
        <w:rPr>
          <w:color w:val="000000"/>
          <w:sz w:val="20"/>
          <w:szCs w:val="20"/>
        </w:rPr>
        <w:t>and elaborates on this one topic. If there are two or more sub-topics, the next level head (uppercase Roman numerals) should be used and, conversely, if there are not at least two sub-topics, then no subheads should be introduced. Styles named “Heading 1”,</w:t>
      </w:r>
      <w:r>
        <w:rPr>
          <w:color w:val="000000"/>
          <w:sz w:val="20"/>
          <w:szCs w:val="20"/>
        </w:rPr>
        <w:t xml:space="preserve"> “Heading 2”, “Heading 3”, and “Heading 4” are prescribed.</w:t>
      </w:r>
    </w:p>
    <w:p w:rsidR="00F50E09" w:rsidRDefault="007E52E8">
      <w:pPr>
        <w:pStyle w:val="Heading2"/>
        <w:numPr>
          <w:ilvl w:val="1"/>
          <w:numId w:val="3"/>
        </w:numPr>
      </w:pPr>
      <w:r>
        <w:t>Figures and Tables</w:t>
      </w:r>
    </w:p>
    <w:p w:rsidR="00F50E09" w:rsidRDefault="007E52E8">
      <w:pPr>
        <w:pStyle w:val="Heading4"/>
        <w:numPr>
          <w:ilvl w:val="3"/>
          <w:numId w:val="4"/>
        </w:numPr>
      </w:pPr>
      <w:r>
        <w:t xml:space="preserve"> Positioning Figures and Tables: </w:t>
      </w:r>
      <w:r>
        <w:rPr>
          <w:i w:val="0"/>
        </w:rPr>
        <w:t xml:space="preserve">Place figures and tables at the top and bottom of columns. Avoid placing them in the middle of columns. Large figures and tables may span across </w:t>
      </w:r>
      <w:r>
        <w:rPr>
          <w:i w:val="0"/>
        </w:rPr>
        <w:t>both columns. Figure captions should be below the figures; table heads should appear above the tables. Insert figures and tables after they are cited in the text. Use the abbreviation “Fig. 1”, even at the beginning of a sentence.</w:t>
      </w:r>
    </w:p>
    <w:p w:rsidR="00F50E09" w:rsidRDefault="007E52E8">
      <w:pPr>
        <w:numPr>
          <w:ilvl w:val="0"/>
          <w:numId w:val="6"/>
        </w:numPr>
        <w:pBdr>
          <w:top w:val="nil"/>
          <w:left w:val="nil"/>
          <w:bottom w:val="nil"/>
          <w:right w:val="nil"/>
          <w:between w:val="nil"/>
        </w:pBdr>
        <w:tabs>
          <w:tab w:val="left" w:pos="1080"/>
        </w:tabs>
        <w:spacing w:before="240" w:after="120" w:line="216" w:lineRule="auto"/>
        <w:jc w:val="center"/>
      </w:pPr>
      <w:r>
        <w:rPr>
          <w:smallCaps/>
          <w:color w:val="000000"/>
          <w:sz w:val="16"/>
          <w:szCs w:val="16"/>
        </w:rPr>
        <w:t>Table Type Styles</w:t>
      </w:r>
    </w:p>
    <w:tbl>
      <w:tblPr>
        <w:tblStyle w:val="a"/>
        <w:tblW w:w="486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720"/>
        <w:gridCol w:w="2340"/>
        <w:gridCol w:w="900"/>
        <w:gridCol w:w="900"/>
      </w:tblGrid>
      <w:tr w:rsidR="00F50E09">
        <w:trPr>
          <w:tblHeader/>
          <w:jc w:val="center"/>
        </w:trPr>
        <w:tc>
          <w:tcPr>
            <w:tcW w:w="720"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F50E09" w:rsidRDefault="007E52E8">
            <w:pPr>
              <w:pBdr>
                <w:top w:val="nil"/>
                <w:left w:val="nil"/>
                <w:bottom w:val="nil"/>
                <w:right w:val="nil"/>
                <w:between w:val="nil"/>
              </w:pBdr>
              <w:jc w:val="center"/>
              <w:rPr>
                <w:b/>
                <w:color w:val="000000"/>
                <w:sz w:val="16"/>
                <w:szCs w:val="16"/>
              </w:rPr>
            </w:pPr>
            <w:r>
              <w:rPr>
                <w:b/>
                <w:color w:val="000000"/>
                <w:sz w:val="16"/>
                <w:szCs w:val="16"/>
              </w:rPr>
              <w:lastRenderedPageBreak/>
              <w:t>Table Head</w:t>
            </w:r>
          </w:p>
        </w:tc>
        <w:tc>
          <w:tcPr>
            <w:tcW w:w="414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F50E09" w:rsidRDefault="007E52E8">
            <w:pPr>
              <w:pBdr>
                <w:top w:val="nil"/>
                <w:left w:val="nil"/>
                <w:bottom w:val="nil"/>
                <w:right w:val="nil"/>
                <w:between w:val="nil"/>
              </w:pBdr>
              <w:jc w:val="center"/>
              <w:rPr>
                <w:b/>
                <w:color w:val="000000"/>
                <w:sz w:val="16"/>
                <w:szCs w:val="16"/>
              </w:rPr>
            </w:pPr>
            <w:r>
              <w:rPr>
                <w:b/>
                <w:color w:val="000000"/>
                <w:sz w:val="16"/>
                <w:szCs w:val="16"/>
              </w:rPr>
              <w:t>Table Column Head</w:t>
            </w:r>
          </w:p>
        </w:tc>
      </w:tr>
      <w:tr w:rsidR="00F50E09">
        <w:trPr>
          <w:trHeight w:val="179"/>
          <w:tblHeader/>
          <w:jc w:val="center"/>
        </w:trPr>
        <w:tc>
          <w:tcPr>
            <w:tcW w:w="720"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F50E09" w:rsidRDefault="00F50E09">
            <w:pPr>
              <w:widowControl w:val="0"/>
              <w:pBdr>
                <w:top w:val="nil"/>
                <w:left w:val="nil"/>
                <w:bottom w:val="nil"/>
                <w:right w:val="nil"/>
                <w:between w:val="nil"/>
              </w:pBdr>
              <w:spacing w:line="276" w:lineRule="auto"/>
              <w:rPr>
                <w:b/>
                <w:color w:val="000000"/>
                <w:sz w:val="16"/>
                <w:szCs w:val="16"/>
              </w:rPr>
            </w:pP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F50E09" w:rsidRDefault="007E52E8">
            <w:pPr>
              <w:pBdr>
                <w:top w:val="nil"/>
                <w:left w:val="nil"/>
                <w:bottom w:val="nil"/>
                <w:right w:val="nil"/>
                <w:between w:val="nil"/>
              </w:pBdr>
              <w:jc w:val="center"/>
              <w:rPr>
                <w:b/>
                <w:i/>
                <w:color w:val="000000"/>
                <w:sz w:val="15"/>
                <w:szCs w:val="15"/>
              </w:rPr>
            </w:pPr>
            <w:r>
              <w:rPr>
                <w:b/>
                <w:i/>
                <w:color w:val="000000"/>
                <w:sz w:val="15"/>
                <w:szCs w:val="15"/>
              </w:rPr>
              <w:t>Table column subhead</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F50E09" w:rsidRDefault="007E52E8">
            <w:pPr>
              <w:pBdr>
                <w:top w:val="nil"/>
                <w:left w:val="nil"/>
                <w:bottom w:val="nil"/>
                <w:right w:val="nil"/>
                <w:between w:val="nil"/>
              </w:pBdr>
              <w:jc w:val="center"/>
              <w:rPr>
                <w:b/>
                <w:i/>
                <w:color w:val="000000"/>
                <w:sz w:val="15"/>
                <w:szCs w:val="15"/>
              </w:rPr>
            </w:pPr>
            <w:r>
              <w:rPr>
                <w:b/>
                <w:i/>
                <w:color w:val="000000"/>
                <w:sz w:val="15"/>
                <w:szCs w:val="15"/>
              </w:rPr>
              <w:t>Subhead</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F50E09" w:rsidRDefault="007E52E8">
            <w:pPr>
              <w:pBdr>
                <w:top w:val="nil"/>
                <w:left w:val="nil"/>
                <w:bottom w:val="nil"/>
                <w:right w:val="nil"/>
                <w:between w:val="nil"/>
              </w:pBdr>
              <w:jc w:val="center"/>
              <w:rPr>
                <w:b/>
                <w:i/>
                <w:color w:val="000000"/>
                <w:sz w:val="15"/>
                <w:szCs w:val="15"/>
              </w:rPr>
            </w:pPr>
            <w:r>
              <w:rPr>
                <w:b/>
                <w:i/>
                <w:color w:val="000000"/>
                <w:sz w:val="15"/>
                <w:szCs w:val="15"/>
              </w:rPr>
              <w:t>Subhead</w:t>
            </w:r>
          </w:p>
        </w:tc>
      </w:tr>
      <w:tr w:rsidR="00F50E09">
        <w:trPr>
          <w:trHeight w:val="178"/>
          <w:jc w:val="center"/>
        </w:trPr>
        <w:tc>
          <w:tcPr>
            <w:tcW w:w="7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F50E09" w:rsidRDefault="007E52E8">
            <w:pPr>
              <w:pBdr>
                <w:top w:val="nil"/>
                <w:left w:val="nil"/>
                <w:bottom w:val="nil"/>
                <w:right w:val="nil"/>
                <w:between w:val="nil"/>
              </w:pBdr>
              <w:jc w:val="both"/>
              <w:rPr>
                <w:color w:val="000000"/>
                <w:sz w:val="16"/>
                <w:szCs w:val="16"/>
              </w:rPr>
            </w:pPr>
            <w:r>
              <w:rPr>
                <w:color w:val="000000"/>
                <w:sz w:val="16"/>
                <w:szCs w:val="16"/>
              </w:rPr>
              <w:t>copy</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F50E09" w:rsidRDefault="007E52E8">
            <w:pPr>
              <w:pBdr>
                <w:top w:val="nil"/>
                <w:left w:val="nil"/>
                <w:bottom w:val="nil"/>
                <w:right w:val="nil"/>
                <w:between w:val="nil"/>
              </w:pBdr>
              <w:jc w:val="both"/>
              <w:rPr>
                <w:color w:val="000000"/>
                <w:sz w:val="16"/>
                <w:szCs w:val="16"/>
              </w:rPr>
            </w:pPr>
            <w:r>
              <w:rPr>
                <w:color w:val="000000"/>
                <w:sz w:val="16"/>
                <w:szCs w:val="16"/>
              </w:rPr>
              <w:t xml:space="preserve">More table </w:t>
            </w:r>
            <w:proofErr w:type="spellStart"/>
            <w:r>
              <w:rPr>
                <w:color w:val="000000"/>
                <w:sz w:val="16"/>
                <w:szCs w:val="16"/>
              </w:rPr>
              <w:t>copy</w:t>
            </w:r>
            <w:r>
              <w:rPr>
                <w:color w:val="000000"/>
                <w:sz w:val="16"/>
                <w:szCs w:val="16"/>
                <w:vertAlign w:val="superscript"/>
              </w:rPr>
              <w:t>a</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F50E09" w:rsidRDefault="00F50E09"/>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F50E09" w:rsidRDefault="00F50E09"/>
        </w:tc>
      </w:tr>
    </w:tbl>
    <w:p w:rsidR="00F50E09" w:rsidRDefault="00F50E09">
      <w:pPr>
        <w:widowControl w:val="0"/>
        <w:numPr>
          <w:ilvl w:val="0"/>
          <w:numId w:val="6"/>
        </w:numPr>
        <w:pBdr>
          <w:top w:val="nil"/>
          <w:left w:val="nil"/>
          <w:bottom w:val="nil"/>
          <w:right w:val="nil"/>
          <w:between w:val="nil"/>
        </w:pBdr>
        <w:tabs>
          <w:tab w:val="left" w:pos="1080"/>
        </w:tabs>
        <w:spacing w:before="240" w:after="120"/>
        <w:jc w:val="center"/>
      </w:pPr>
    </w:p>
    <w:p w:rsidR="00F50E09" w:rsidRDefault="007E52E8">
      <w:pPr>
        <w:numPr>
          <w:ilvl w:val="0"/>
          <w:numId w:val="5"/>
        </w:numPr>
        <w:pBdr>
          <w:top w:val="nil"/>
          <w:left w:val="nil"/>
          <w:bottom w:val="nil"/>
          <w:right w:val="nil"/>
          <w:between w:val="nil"/>
        </w:pBdr>
        <w:spacing w:before="60" w:after="30"/>
        <w:jc w:val="right"/>
      </w:pPr>
      <w:r>
        <w:rPr>
          <w:color w:val="000000"/>
          <w:sz w:val="12"/>
          <w:szCs w:val="12"/>
        </w:rPr>
        <w:t>Sample of a Table footnote. (</w:t>
      </w:r>
      <w:r>
        <w:rPr>
          <w:i/>
          <w:color w:val="000000"/>
          <w:sz w:val="12"/>
          <w:szCs w:val="12"/>
        </w:rPr>
        <w:t>Table footnote</w:t>
      </w:r>
      <w:r>
        <w:rPr>
          <w:color w:val="000000"/>
          <w:sz w:val="12"/>
          <w:szCs w:val="12"/>
        </w:rPr>
        <w:t>)</w:t>
      </w:r>
    </w:p>
    <w:p w:rsidR="00F50E09" w:rsidRDefault="007E52E8">
      <w:pPr>
        <w:numPr>
          <w:ilvl w:val="0"/>
          <w:numId w:val="7"/>
        </w:numPr>
        <w:pBdr>
          <w:top w:val="nil"/>
          <w:left w:val="nil"/>
          <w:bottom w:val="nil"/>
          <w:right w:val="nil"/>
          <w:between w:val="nil"/>
        </w:pBdr>
        <w:tabs>
          <w:tab w:val="left" w:pos="533"/>
        </w:tabs>
        <w:spacing w:before="80" w:after="200"/>
        <w:jc w:val="both"/>
      </w:pPr>
      <w:r>
        <w:rPr>
          <w:color w:val="000000"/>
          <w:sz w:val="16"/>
          <w:szCs w:val="16"/>
        </w:rPr>
        <w:t>Example of a figure caption. (</w:t>
      </w:r>
      <w:r>
        <w:rPr>
          <w:i/>
          <w:color w:val="000000"/>
          <w:sz w:val="16"/>
          <w:szCs w:val="16"/>
        </w:rPr>
        <w:t>figure caption</w:t>
      </w:r>
      <w:r>
        <w:rPr>
          <w:color w:val="000000"/>
          <w:sz w:val="16"/>
          <w:szCs w:val="16"/>
        </w:rPr>
        <w:t>)</w:t>
      </w:r>
    </w:p>
    <w:p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Figure Labels: Use 8 point Times New Roman for Figure labels. Use words rather than symbols or abbreviations when writing Figure axis labels to avoid confusing the reader. As an example, write the quantity “Magnetization”, or “Magnetization, M”, not just “</w:t>
      </w:r>
      <w:r>
        <w:rPr>
          <w:color w:val="000000"/>
          <w:sz w:val="20"/>
          <w:szCs w:val="20"/>
        </w:rPr>
        <w:t>M”. If including units in the label, present them within parentheses. Do not label axes only with units. In the example, write “Magnetization (A/m)” or “Magnetization {</w:t>
      </w:r>
      <w:proofErr w:type="gramStart"/>
      <w:r>
        <w:rPr>
          <w:color w:val="000000"/>
          <w:sz w:val="20"/>
          <w:szCs w:val="20"/>
        </w:rPr>
        <w:t>A[</w:t>
      </w:r>
      <w:proofErr w:type="gramEnd"/>
      <w:r>
        <w:rPr>
          <w:color w:val="000000"/>
          <w:sz w:val="20"/>
          <w:szCs w:val="20"/>
        </w:rPr>
        <w:t>m(1)]}”, not just “A/m”. Do not label axes with a ratio of quantities and units. For e</w:t>
      </w:r>
      <w:r>
        <w:rPr>
          <w:color w:val="000000"/>
          <w:sz w:val="20"/>
          <w:szCs w:val="20"/>
        </w:rPr>
        <w:t>xample, write “Temperature (K)”, not “Temperature/K”.</w:t>
      </w:r>
    </w:p>
    <w:p w:rsidR="00F50E09" w:rsidRDefault="007E52E8">
      <w:pPr>
        <w:pStyle w:val="Heading5"/>
      </w:pPr>
      <w:r>
        <w:t xml:space="preserve">Acknowledgment </w:t>
      </w:r>
      <w:r>
        <w:rPr>
          <w:i/>
        </w:rPr>
        <w:t>(</w:t>
      </w:r>
      <w:r>
        <w:rPr>
          <w:i/>
          <w:smallCaps w:val="0"/>
        </w:rPr>
        <w:t>Heading 5</w:t>
      </w:r>
      <w:r>
        <w:rPr>
          <w:i/>
        </w:rPr>
        <w:t>)</w:t>
      </w:r>
    </w:p>
    <w:p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 xml:space="preserve">The preferred spelling of the word “acknowledgment” in America is without an “e” after the “g”. Avoid the stilted expression “one of us (R. B. G.) </w:t>
      </w:r>
      <w:proofErr w:type="gramStart"/>
      <w:r>
        <w:rPr>
          <w:color w:val="000000"/>
          <w:sz w:val="20"/>
          <w:szCs w:val="20"/>
        </w:rPr>
        <w:t>thanks</w:t>
      </w:r>
      <w:proofErr w:type="gramEnd"/>
      <w:r>
        <w:rPr>
          <w:color w:val="000000"/>
          <w:sz w:val="20"/>
          <w:szCs w:val="20"/>
        </w:rPr>
        <w:t xml:space="preserve"> ...”.  Instead, try “</w:t>
      </w:r>
      <w:r>
        <w:rPr>
          <w:color w:val="000000"/>
          <w:sz w:val="20"/>
          <w:szCs w:val="20"/>
        </w:rPr>
        <w:t>R. B. G. thanks...</w:t>
      </w:r>
      <w:proofErr w:type="gramStart"/>
      <w:r>
        <w:rPr>
          <w:color w:val="000000"/>
          <w:sz w:val="20"/>
          <w:szCs w:val="20"/>
        </w:rPr>
        <w:t>”.</w:t>
      </w:r>
      <w:proofErr w:type="gramEnd"/>
      <w:r>
        <w:rPr>
          <w:color w:val="000000"/>
          <w:sz w:val="20"/>
          <w:szCs w:val="20"/>
        </w:rPr>
        <w:t xml:space="preserve"> Put sponsor acknowledgments in the unnumbered footnote on the first page.</w:t>
      </w:r>
    </w:p>
    <w:p w:rsidR="00F50E09" w:rsidRDefault="007E52E8">
      <w:pPr>
        <w:pStyle w:val="Heading5"/>
      </w:pPr>
      <w:r>
        <w:t>References</w:t>
      </w:r>
    </w:p>
    <w:p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 xml:space="preserve">The template will number citations consecutively within brackets [1]. The sentence punctuation follows the bracket [2]. Refer simply to the reference </w:t>
      </w:r>
      <w:r>
        <w:rPr>
          <w:color w:val="000000"/>
          <w:sz w:val="20"/>
          <w:szCs w:val="20"/>
        </w:rPr>
        <w:t>number, as in [3]—do not use “Ref. [3]” or “reference [3]” except at the beginning of a sentence: “Reference [3] was the first ...”</w:t>
      </w:r>
    </w:p>
    <w:p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 xml:space="preserve">Number footnotes separately in superscripts. Place the actual footnote at the bottom of the column in which it was </w:t>
      </w:r>
      <w:r>
        <w:rPr>
          <w:color w:val="000000"/>
          <w:sz w:val="20"/>
          <w:szCs w:val="20"/>
        </w:rPr>
        <w:lastRenderedPageBreak/>
        <w:t>cited. Do</w:t>
      </w:r>
      <w:r>
        <w:rPr>
          <w:color w:val="000000"/>
          <w:sz w:val="20"/>
          <w:szCs w:val="20"/>
        </w:rPr>
        <w:t xml:space="preserve"> not put footnotes in the abstract or reference list. Use letters for table footnotes.</w:t>
      </w:r>
    </w:p>
    <w:p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Unless there are six authors or more give all authors’ names; do not use “et al.</w:t>
      </w:r>
      <w:proofErr w:type="gramStart"/>
      <w:r>
        <w:rPr>
          <w:color w:val="000000"/>
          <w:sz w:val="20"/>
          <w:szCs w:val="20"/>
        </w:rPr>
        <w:t>”.</w:t>
      </w:r>
      <w:proofErr w:type="gramEnd"/>
      <w:r>
        <w:rPr>
          <w:color w:val="000000"/>
          <w:sz w:val="20"/>
          <w:szCs w:val="20"/>
        </w:rPr>
        <w:t xml:space="preserve"> Papers that have not been published, even if they have been submitted for publication,</w:t>
      </w:r>
      <w:r>
        <w:rPr>
          <w:color w:val="000000"/>
          <w:sz w:val="20"/>
          <w:szCs w:val="20"/>
        </w:rPr>
        <w:t xml:space="preserve"> should be cited as “unpublished” [4]. Papers that have been accepted for publication should be cited as “in press” [5]. Capitalize only the first word in a paper title, except for proper nouns and element symbols.</w:t>
      </w:r>
    </w:p>
    <w:p w:rsidR="00F50E09" w:rsidRDefault="007E52E8">
      <w:pPr>
        <w:pBdr>
          <w:top w:val="nil"/>
          <w:left w:val="nil"/>
          <w:bottom w:val="nil"/>
          <w:right w:val="nil"/>
          <w:between w:val="nil"/>
        </w:pBdr>
        <w:tabs>
          <w:tab w:val="left" w:pos="288"/>
        </w:tabs>
        <w:spacing w:after="120" w:line="228" w:lineRule="auto"/>
        <w:ind w:firstLine="288"/>
        <w:jc w:val="both"/>
        <w:rPr>
          <w:color w:val="000000"/>
          <w:sz w:val="20"/>
          <w:szCs w:val="20"/>
        </w:rPr>
      </w:pPr>
      <w:r>
        <w:rPr>
          <w:color w:val="000000"/>
          <w:sz w:val="20"/>
          <w:szCs w:val="20"/>
        </w:rPr>
        <w:t>For papers published in translation journ</w:t>
      </w:r>
      <w:r>
        <w:rPr>
          <w:color w:val="000000"/>
          <w:sz w:val="20"/>
          <w:szCs w:val="20"/>
        </w:rPr>
        <w:t>als, please give the English citation first, followed by the original foreign-language citation [6].</w:t>
      </w:r>
    </w:p>
    <w:p w:rsidR="00F50E09" w:rsidRDefault="00F50E09">
      <w:pPr>
        <w:pBdr>
          <w:top w:val="nil"/>
          <w:left w:val="nil"/>
          <w:bottom w:val="nil"/>
          <w:right w:val="nil"/>
          <w:between w:val="nil"/>
        </w:pBdr>
        <w:jc w:val="center"/>
        <w:rPr>
          <w:color w:val="000000"/>
          <w:sz w:val="20"/>
          <w:szCs w:val="20"/>
        </w:rPr>
      </w:pPr>
    </w:p>
    <w:p w:rsidR="00F50E09" w:rsidRDefault="007E52E8">
      <w:pPr>
        <w:numPr>
          <w:ilvl w:val="0"/>
          <w:numId w:val="8"/>
        </w:numPr>
        <w:pBdr>
          <w:top w:val="nil"/>
          <w:left w:val="nil"/>
          <w:bottom w:val="nil"/>
          <w:right w:val="nil"/>
          <w:between w:val="nil"/>
        </w:pBdr>
        <w:tabs>
          <w:tab w:val="left" w:pos="360"/>
        </w:tabs>
        <w:spacing w:after="50" w:line="180" w:lineRule="auto"/>
        <w:jc w:val="both"/>
        <w:rPr>
          <w:color w:val="000000"/>
          <w:sz w:val="16"/>
          <w:szCs w:val="16"/>
        </w:rPr>
      </w:pPr>
      <w:r>
        <w:rPr>
          <w:color w:val="000000"/>
          <w:sz w:val="16"/>
          <w:szCs w:val="16"/>
        </w:rPr>
        <w:t xml:space="preserve">G. Eason, B. Noble, and I. N. </w:t>
      </w:r>
      <w:proofErr w:type="spellStart"/>
      <w:r>
        <w:rPr>
          <w:color w:val="000000"/>
          <w:sz w:val="16"/>
          <w:szCs w:val="16"/>
        </w:rPr>
        <w:t>Sneddon</w:t>
      </w:r>
      <w:proofErr w:type="spellEnd"/>
      <w:r>
        <w:rPr>
          <w:color w:val="000000"/>
          <w:sz w:val="16"/>
          <w:szCs w:val="16"/>
        </w:rPr>
        <w:t xml:space="preserve">, “On certain integrals of </w:t>
      </w:r>
      <w:proofErr w:type="spellStart"/>
      <w:r>
        <w:rPr>
          <w:color w:val="000000"/>
          <w:sz w:val="16"/>
          <w:szCs w:val="16"/>
        </w:rPr>
        <w:t>Lipschitz-Hankel</w:t>
      </w:r>
      <w:proofErr w:type="spellEnd"/>
      <w:r>
        <w:rPr>
          <w:color w:val="000000"/>
          <w:sz w:val="16"/>
          <w:szCs w:val="16"/>
        </w:rPr>
        <w:t xml:space="preserve"> type involving products of Bessel functions,” Phil. Trans. Roy. Soc. London, vol. A247, pp. 529–551, April 1955. </w:t>
      </w:r>
      <w:r>
        <w:rPr>
          <w:i/>
          <w:color w:val="000000"/>
          <w:sz w:val="16"/>
          <w:szCs w:val="16"/>
        </w:rPr>
        <w:t>(references)</w:t>
      </w:r>
    </w:p>
    <w:p w:rsidR="00F50E09" w:rsidRDefault="007E52E8">
      <w:pPr>
        <w:numPr>
          <w:ilvl w:val="0"/>
          <w:numId w:val="8"/>
        </w:numPr>
        <w:pBdr>
          <w:top w:val="nil"/>
          <w:left w:val="nil"/>
          <w:bottom w:val="nil"/>
          <w:right w:val="nil"/>
          <w:between w:val="nil"/>
        </w:pBdr>
        <w:tabs>
          <w:tab w:val="left" w:pos="360"/>
        </w:tabs>
        <w:spacing w:after="50" w:line="180" w:lineRule="auto"/>
        <w:jc w:val="both"/>
        <w:rPr>
          <w:color w:val="000000"/>
          <w:sz w:val="16"/>
          <w:szCs w:val="16"/>
        </w:rPr>
      </w:pPr>
      <w:r>
        <w:rPr>
          <w:color w:val="000000"/>
          <w:sz w:val="16"/>
          <w:szCs w:val="16"/>
        </w:rPr>
        <w:t xml:space="preserve">J. Clerk Maxwell, </w:t>
      </w:r>
      <w:proofErr w:type="gramStart"/>
      <w:r>
        <w:rPr>
          <w:color w:val="000000"/>
          <w:sz w:val="16"/>
          <w:szCs w:val="16"/>
        </w:rPr>
        <w:t>A</w:t>
      </w:r>
      <w:proofErr w:type="gramEnd"/>
      <w:r>
        <w:rPr>
          <w:color w:val="000000"/>
          <w:sz w:val="16"/>
          <w:szCs w:val="16"/>
        </w:rPr>
        <w:t xml:space="preserve"> Treatise on Electricity and M</w:t>
      </w:r>
      <w:r>
        <w:rPr>
          <w:color w:val="000000"/>
          <w:sz w:val="16"/>
          <w:szCs w:val="16"/>
        </w:rPr>
        <w:t>agnetism, 3rd ed., vol. 2. Oxford: Clarendon, 1892, pp.68–73.</w:t>
      </w:r>
    </w:p>
    <w:p w:rsidR="00F50E09" w:rsidRDefault="007E52E8">
      <w:pPr>
        <w:numPr>
          <w:ilvl w:val="0"/>
          <w:numId w:val="8"/>
        </w:numPr>
        <w:pBdr>
          <w:top w:val="nil"/>
          <w:left w:val="nil"/>
          <w:bottom w:val="nil"/>
          <w:right w:val="nil"/>
          <w:between w:val="nil"/>
        </w:pBdr>
        <w:tabs>
          <w:tab w:val="left" w:pos="360"/>
        </w:tabs>
        <w:spacing w:after="50" w:line="180" w:lineRule="auto"/>
        <w:jc w:val="both"/>
        <w:rPr>
          <w:color w:val="000000"/>
          <w:sz w:val="16"/>
          <w:szCs w:val="16"/>
        </w:rPr>
      </w:pPr>
      <w:r>
        <w:rPr>
          <w:color w:val="000000"/>
          <w:sz w:val="16"/>
          <w:szCs w:val="16"/>
        </w:rPr>
        <w:t xml:space="preserve">I. S. Jacobs and C. P. Bean, “Fine particles, thin films and exchange anisotropy,” in Magnetism, vol. III, G. T. </w:t>
      </w:r>
      <w:proofErr w:type="spellStart"/>
      <w:r>
        <w:rPr>
          <w:color w:val="000000"/>
          <w:sz w:val="16"/>
          <w:szCs w:val="16"/>
        </w:rPr>
        <w:t>Rado</w:t>
      </w:r>
      <w:proofErr w:type="spellEnd"/>
      <w:r>
        <w:rPr>
          <w:color w:val="000000"/>
          <w:sz w:val="16"/>
          <w:szCs w:val="16"/>
        </w:rPr>
        <w:t xml:space="preserve"> and H. Suhl, Eds. New York: Academic, 1963, pp. 271–350.</w:t>
      </w:r>
    </w:p>
    <w:p w:rsidR="00F50E09" w:rsidRDefault="007E52E8">
      <w:pPr>
        <w:numPr>
          <w:ilvl w:val="0"/>
          <w:numId w:val="8"/>
        </w:numPr>
        <w:pBdr>
          <w:top w:val="nil"/>
          <w:left w:val="nil"/>
          <w:bottom w:val="nil"/>
          <w:right w:val="nil"/>
          <w:between w:val="nil"/>
        </w:pBdr>
        <w:tabs>
          <w:tab w:val="left" w:pos="360"/>
        </w:tabs>
        <w:spacing w:after="50" w:line="180" w:lineRule="auto"/>
        <w:jc w:val="both"/>
      </w:pPr>
      <w:r>
        <w:rPr>
          <w:color w:val="000000"/>
          <w:sz w:val="16"/>
          <w:szCs w:val="16"/>
        </w:rPr>
        <w:t>K. Elissa, “Title o</w:t>
      </w:r>
      <w:r>
        <w:rPr>
          <w:color w:val="000000"/>
          <w:sz w:val="16"/>
          <w:szCs w:val="16"/>
        </w:rPr>
        <w:t>f paper if known,” unpublished.</w:t>
      </w:r>
    </w:p>
    <w:p w:rsidR="00F50E09" w:rsidRDefault="007E52E8">
      <w:pPr>
        <w:numPr>
          <w:ilvl w:val="0"/>
          <w:numId w:val="8"/>
        </w:numPr>
        <w:pBdr>
          <w:top w:val="nil"/>
          <w:left w:val="nil"/>
          <w:bottom w:val="nil"/>
          <w:right w:val="nil"/>
          <w:between w:val="nil"/>
        </w:pBdr>
        <w:tabs>
          <w:tab w:val="left" w:pos="360"/>
        </w:tabs>
        <w:spacing w:after="50" w:line="180" w:lineRule="auto"/>
        <w:jc w:val="both"/>
        <w:rPr>
          <w:color w:val="000000"/>
          <w:sz w:val="16"/>
          <w:szCs w:val="16"/>
        </w:rPr>
      </w:pPr>
      <w:r>
        <w:rPr>
          <w:color w:val="000000"/>
          <w:sz w:val="16"/>
          <w:szCs w:val="16"/>
        </w:rPr>
        <w:t xml:space="preserve">R. Nicole, “Title of paper with only first word capitalized,” J. Name Stand. </w:t>
      </w:r>
      <w:proofErr w:type="gramStart"/>
      <w:r>
        <w:rPr>
          <w:color w:val="000000"/>
          <w:sz w:val="16"/>
          <w:szCs w:val="16"/>
        </w:rPr>
        <w:t>Abbrev.,</w:t>
      </w:r>
      <w:proofErr w:type="gramEnd"/>
      <w:r>
        <w:rPr>
          <w:color w:val="000000"/>
          <w:sz w:val="16"/>
          <w:szCs w:val="16"/>
        </w:rPr>
        <w:t xml:space="preserve"> in press.</w:t>
      </w:r>
    </w:p>
    <w:p w:rsidR="00F50E09" w:rsidRDefault="007E52E8">
      <w:pPr>
        <w:numPr>
          <w:ilvl w:val="0"/>
          <w:numId w:val="8"/>
        </w:numPr>
        <w:pBdr>
          <w:top w:val="nil"/>
          <w:left w:val="nil"/>
          <w:bottom w:val="nil"/>
          <w:right w:val="nil"/>
          <w:between w:val="nil"/>
        </w:pBdr>
        <w:tabs>
          <w:tab w:val="left" w:pos="360"/>
        </w:tabs>
        <w:spacing w:after="50" w:line="180" w:lineRule="auto"/>
        <w:jc w:val="both"/>
        <w:rPr>
          <w:color w:val="000000"/>
          <w:sz w:val="16"/>
          <w:szCs w:val="16"/>
        </w:rPr>
      </w:pPr>
      <w:r>
        <w:rPr>
          <w:color w:val="000000"/>
          <w:sz w:val="16"/>
          <w:szCs w:val="16"/>
        </w:rPr>
        <w:t xml:space="preserve">Y. Yorozu, M. Hirano, K. Oka, and Y. </w:t>
      </w:r>
      <w:proofErr w:type="spellStart"/>
      <w:r>
        <w:rPr>
          <w:color w:val="000000"/>
          <w:sz w:val="16"/>
          <w:szCs w:val="16"/>
        </w:rPr>
        <w:t>Tagawa</w:t>
      </w:r>
      <w:proofErr w:type="spellEnd"/>
      <w:r>
        <w:rPr>
          <w:color w:val="000000"/>
          <w:sz w:val="16"/>
          <w:szCs w:val="16"/>
        </w:rPr>
        <w:t>, “Electron spectroscopy studies on magneto-optical media and plastic substrate inter</w:t>
      </w:r>
      <w:r>
        <w:rPr>
          <w:color w:val="000000"/>
          <w:sz w:val="16"/>
          <w:szCs w:val="16"/>
        </w:rPr>
        <w:t xml:space="preserve">face,” IEEE Transl. J. </w:t>
      </w:r>
      <w:proofErr w:type="spellStart"/>
      <w:r>
        <w:rPr>
          <w:color w:val="000000"/>
          <w:sz w:val="16"/>
          <w:szCs w:val="16"/>
        </w:rPr>
        <w:t>Magn</w:t>
      </w:r>
      <w:proofErr w:type="spellEnd"/>
      <w:r>
        <w:rPr>
          <w:color w:val="000000"/>
          <w:sz w:val="16"/>
          <w:szCs w:val="16"/>
        </w:rPr>
        <w:t>. Japan, vol. 2, pp. 740–741, August 1987 [Digests 9th Annual Conf. Magnetics Japan, p. 301, 1982].</w:t>
      </w:r>
    </w:p>
    <w:p w:rsidR="00F50E09" w:rsidRDefault="007E52E8">
      <w:pPr>
        <w:numPr>
          <w:ilvl w:val="0"/>
          <w:numId w:val="8"/>
        </w:numPr>
        <w:pBdr>
          <w:top w:val="nil"/>
          <w:left w:val="nil"/>
          <w:bottom w:val="nil"/>
          <w:right w:val="nil"/>
          <w:between w:val="nil"/>
        </w:pBdr>
        <w:tabs>
          <w:tab w:val="left" w:pos="360"/>
        </w:tabs>
        <w:spacing w:after="50" w:line="180" w:lineRule="auto"/>
        <w:jc w:val="both"/>
        <w:rPr>
          <w:color w:val="000000"/>
          <w:sz w:val="16"/>
          <w:szCs w:val="16"/>
        </w:rPr>
      </w:pPr>
      <w:r>
        <w:rPr>
          <w:color w:val="000000"/>
          <w:sz w:val="16"/>
          <w:szCs w:val="16"/>
        </w:rPr>
        <w:t xml:space="preserve">M. Young, </w:t>
      </w:r>
      <w:proofErr w:type="gramStart"/>
      <w:r>
        <w:rPr>
          <w:color w:val="000000"/>
          <w:sz w:val="16"/>
          <w:szCs w:val="16"/>
        </w:rPr>
        <w:t>The</w:t>
      </w:r>
      <w:proofErr w:type="gramEnd"/>
      <w:r>
        <w:rPr>
          <w:color w:val="000000"/>
          <w:sz w:val="16"/>
          <w:szCs w:val="16"/>
        </w:rPr>
        <w:t xml:space="preserve"> Technical Writer’s Handbook. Mill Valley, CA: University Science, 1989.</w:t>
      </w:r>
    </w:p>
    <w:p w:rsidR="00F50E09" w:rsidRDefault="00F50E09">
      <w:pPr>
        <w:pBdr>
          <w:top w:val="nil"/>
          <w:left w:val="nil"/>
          <w:bottom w:val="nil"/>
          <w:right w:val="nil"/>
          <w:between w:val="nil"/>
        </w:pBdr>
        <w:tabs>
          <w:tab w:val="left" w:pos="360"/>
        </w:tabs>
        <w:spacing w:after="50" w:line="180" w:lineRule="auto"/>
        <w:ind w:left="360" w:hanging="360"/>
        <w:jc w:val="both"/>
        <w:rPr>
          <w:color w:val="000000"/>
          <w:sz w:val="16"/>
          <w:szCs w:val="16"/>
        </w:rPr>
      </w:pPr>
    </w:p>
    <w:p w:rsidR="00F50E09" w:rsidRDefault="007E52E8">
      <w:pPr>
        <w:pBdr>
          <w:top w:val="nil"/>
          <w:left w:val="nil"/>
          <w:bottom w:val="nil"/>
          <w:right w:val="nil"/>
          <w:between w:val="nil"/>
        </w:pBdr>
        <w:tabs>
          <w:tab w:val="left" w:pos="360"/>
        </w:tabs>
        <w:spacing w:after="50"/>
        <w:ind w:left="360" w:hanging="360"/>
        <w:jc w:val="center"/>
        <w:rPr>
          <w:b/>
          <w:color w:val="FF0000"/>
          <w:sz w:val="20"/>
          <w:szCs w:val="20"/>
        </w:rPr>
        <w:sectPr w:rsidR="00F50E09">
          <w:type w:val="continuous"/>
          <w:pgSz w:w="11900" w:h="16840"/>
          <w:pgMar w:top="450" w:right="907" w:bottom="1440" w:left="907" w:header="720" w:footer="720" w:gutter="0"/>
          <w:cols w:num="2" w:space="720" w:equalWidth="0">
            <w:col w:w="4862" w:space="361"/>
            <w:col w:w="4862" w:space="0"/>
          </w:cols>
        </w:sectPr>
      </w:pPr>
      <w:r>
        <w:rPr>
          <w:b/>
          <w:color w:val="FF0000"/>
          <w:sz w:val="20"/>
          <w:szCs w:val="20"/>
        </w:rPr>
        <w:t>IEEE conference templates contain guidance text for composing and formatting conference papers. Please ensure that all template text is removed from your conference paper prior to submission to the conference. Failure to remove template text from your pape</w:t>
      </w:r>
      <w:r>
        <w:rPr>
          <w:b/>
          <w:color w:val="FF0000"/>
          <w:sz w:val="20"/>
          <w:szCs w:val="20"/>
        </w:rPr>
        <w:t>r may result in your paper not being published.</w:t>
      </w:r>
    </w:p>
    <w:p w:rsidR="00F50E09" w:rsidRDefault="007E52E8">
      <w:pPr>
        <w:pBdr>
          <w:top w:val="nil"/>
          <w:left w:val="nil"/>
          <w:bottom w:val="nil"/>
          <w:right w:val="nil"/>
          <w:between w:val="nil"/>
        </w:pBdr>
        <w:jc w:val="center"/>
        <w:rPr>
          <w:color w:val="000000"/>
          <w:sz w:val="20"/>
          <w:szCs w:val="20"/>
        </w:rPr>
      </w:pPr>
      <w:r>
        <w:rPr>
          <w:noProof/>
          <w:lang w:val="en-IN" w:eastAsia="en-IN" w:bidi="ta-IN"/>
        </w:rPr>
        <w:lastRenderedPageBreak/>
        <mc:AlternateContent>
          <mc:Choice Requires="wpg">
            <w:drawing>
              <wp:anchor distT="57150" distB="57150" distL="57150" distR="57150" simplePos="0" relativeHeight="251659264" behindDoc="0" locked="0" layoutInCell="1" hidden="0" allowOverlap="1">
                <wp:simplePos x="0" y="0"/>
                <wp:positionH relativeFrom="column">
                  <wp:posOffset>6351</wp:posOffset>
                </wp:positionH>
                <wp:positionV relativeFrom="paragraph">
                  <wp:posOffset>234950</wp:posOffset>
                </wp:positionV>
                <wp:extent cx="3209925" cy="1152525"/>
                <wp:effectExtent l="0" t="0" r="0" b="0"/>
                <wp:wrapSquare wrapText="bothSides" distT="57150" distB="57150" distL="57150" distR="57150"/>
                <wp:docPr id="1073741828" name="Rectangle 1073741828" descr="Text Box 8"/>
                <wp:cNvGraphicFramePr/>
                <a:graphic xmlns:a="http://schemas.openxmlformats.org/drawingml/2006/main">
                  <a:graphicData uri="http://schemas.microsoft.com/office/word/2010/wordprocessingShape">
                    <wps:wsp>
                      <wps:cNvSpPr/>
                      <wps:spPr>
                        <a:xfrm>
                          <a:off x="3745800" y="3208500"/>
                          <a:ext cx="3200400" cy="11430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F50E09" w:rsidRDefault="007E52E8">
                            <w:pPr>
                              <w:spacing w:after="120" w:line="227" w:lineRule="auto"/>
                              <w:ind w:firstLine="287"/>
                              <w:jc w:val="both"/>
                              <w:textDirection w:val="btLr"/>
                            </w:pPr>
                            <w:r>
                              <w:rPr>
                                <w:color w:val="000000"/>
                                <w:sz w:val="20"/>
                              </w:rPr>
                              <w:t>We suggest that you use a text box to insert a graphic (which is ideally a 300 dpi TIFF or EPS file, with all fonts embedded) because, in an MSW document, this method is somewhat more stable than directly inserting a picture.</w:t>
                            </w:r>
                          </w:p>
                          <w:p w:rsidR="00F50E09" w:rsidRDefault="007E52E8">
                            <w:pPr>
                              <w:spacing w:after="120" w:line="227" w:lineRule="auto"/>
                              <w:ind w:firstLine="287"/>
                              <w:jc w:val="both"/>
                              <w:textDirection w:val="btLr"/>
                            </w:pPr>
                            <w:r>
                              <w:rPr>
                                <w:color w:val="000000"/>
                                <w:sz w:val="20"/>
                              </w:rPr>
                              <w:t>To have non-visible rules on y</w:t>
                            </w:r>
                            <w:r>
                              <w:rPr>
                                <w:color w:val="000000"/>
                                <w:sz w:val="20"/>
                              </w:rPr>
                              <w:t>our frame, use the MSWord “Format” pull-down menu, select Text Box &gt; Colors and Lines to choose No Fill and No Line.</w:t>
                            </w:r>
                          </w:p>
                        </w:txbxContent>
                      </wps:txbx>
                      <wps:bodyPr spcFirstLastPara="1" wrap="square" lIns="45700" tIns="45700" rIns="45700"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57150" distT="57150" distL="57150" distR="57150" hidden="0" layoutInCell="1" locked="0" relativeHeight="0" simplePos="0">
                <wp:simplePos x="0" y="0"/>
                <wp:positionH relativeFrom="column">
                  <wp:posOffset>6351</wp:posOffset>
                </wp:positionH>
                <wp:positionV relativeFrom="paragraph">
                  <wp:posOffset>234950</wp:posOffset>
                </wp:positionV>
                <wp:extent cx="3209925" cy="1152525"/>
                <wp:effectExtent b="0" l="0" r="0" t="0"/>
                <wp:wrapSquare wrapText="bothSides" distB="57150" distT="57150" distL="57150" distR="57150"/>
                <wp:docPr descr="Text Box 8" id="1073741828" name="image2.png"/>
                <a:graphic>
                  <a:graphicData uri="http://schemas.openxmlformats.org/drawingml/2006/picture">
                    <pic:pic>
                      <pic:nvPicPr>
                        <pic:cNvPr descr="Text Box 8" id="0" name="image2.png"/>
                        <pic:cNvPicPr preferRelativeResize="0"/>
                      </pic:nvPicPr>
                      <pic:blipFill>
                        <a:blip r:embed="rId13"/>
                        <a:srcRect/>
                        <a:stretch>
                          <a:fillRect/>
                        </a:stretch>
                      </pic:blipFill>
                      <pic:spPr>
                        <a:xfrm>
                          <a:off x="0" y="0"/>
                          <a:ext cx="3209925" cy="1152525"/>
                        </a:xfrm>
                        <a:prstGeom prst="rect"/>
                        <a:ln/>
                      </pic:spPr>
                    </pic:pic>
                  </a:graphicData>
                </a:graphic>
              </wp:anchor>
            </w:drawing>
          </mc:Fallback>
        </mc:AlternateContent>
      </w:r>
    </w:p>
    <w:sectPr w:rsidR="00F50E09">
      <w:type w:val="continuous"/>
      <w:pgSz w:w="11900" w:h="16840"/>
      <w:pgMar w:top="450" w:right="893" w:bottom="1440" w:left="893"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52E8" w:rsidRDefault="007E52E8">
      <w:r>
        <w:separator/>
      </w:r>
    </w:p>
  </w:endnote>
  <w:endnote w:type="continuationSeparator" w:id="0">
    <w:p w:rsidR="007E52E8" w:rsidRDefault="007E52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Arimo">
    <w:charset w:val="00"/>
    <w:family w:val="auto"/>
    <w:pitch w:val="default"/>
  </w:font>
  <w:font w:name="Helvetica Neue">
    <w:charset w:val="00"/>
    <w:family w:val="auto"/>
    <w:pitch w:val="default"/>
  </w:font>
  <w:font w:name="Arial Unicode MS">
    <w:panose1 w:val="020B06040202020202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0E09" w:rsidRDefault="00F50E09">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0E09" w:rsidRDefault="007E52E8">
    <w:pPr>
      <w:pBdr>
        <w:top w:val="nil"/>
        <w:left w:val="nil"/>
        <w:bottom w:val="nil"/>
        <w:right w:val="nil"/>
        <w:between w:val="nil"/>
      </w:pBdr>
      <w:tabs>
        <w:tab w:val="center" w:pos="4680"/>
        <w:tab w:val="right" w:pos="9360"/>
      </w:tabs>
      <w:rPr>
        <w:color w:val="000000"/>
        <w:sz w:val="20"/>
        <w:szCs w:val="20"/>
      </w:rPr>
    </w:pPr>
    <w:r>
      <w:rPr>
        <w:color w:val="000000"/>
        <w:sz w:val="16"/>
        <w:szCs w:val="16"/>
      </w:rPr>
      <w:t>XXX-X-XXXX-XXXX-X/XX/$XX.00 ©20XX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52E8" w:rsidRDefault="007E52E8">
      <w:r>
        <w:separator/>
      </w:r>
    </w:p>
  </w:footnote>
  <w:footnote w:type="continuationSeparator" w:id="0">
    <w:p w:rsidR="007E52E8" w:rsidRDefault="007E52E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0E09" w:rsidRDefault="00F50E09">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0E09" w:rsidRDefault="00F50E09">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B96D73"/>
    <w:multiLevelType w:val="multilevel"/>
    <w:tmpl w:val="5A3E54E6"/>
    <w:lvl w:ilvl="0">
      <w:start w:val="1"/>
      <w:numFmt w:val="upperRoman"/>
      <w:lvlText w:val="%1."/>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1">
      <w:start w:val="1"/>
      <w:numFmt w:val="upperRoman"/>
      <w:lvlText w:val="%2."/>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2">
      <w:start w:val="1"/>
      <w:numFmt w:val="upperRoman"/>
      <w:lvlText w:val="%3."/>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3">
      <w:start w:val="1"/>
      <w:numFmt w:val="upperRoman"/>
      <w:lvlText w:val="%4."/>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4">
      <w:start w:val="1"/>
      <w:numFmt w:val="upperRoman"/>
      <w:lvlText w:val="%5."/>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5">
      <w:start w:val="1"/>
      <w:numFmt w:val="upperRoman"/>
      <w:lvlText w:val="%6."/>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6">
      <w:start w:val="1"/>
      <w:numFmt w:val="upperRoman"/>
      <w:lvlText w:val="%7."/>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7">
      <w:start w:val="1"/>
      <w:numFmt w:val="upperRoman"/>
      <w:lvlText w:val="%8."/>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8">
      <w:start w:val="1"/>
      <w:numFmt w:val="upperRoman"/>
      <w:lvlText w:val="%9."/>
      <w:lvlJc w:val="left"/>
      <w:pPr>
        <w:ind w:left="1080" w:hanging="1080"/>
      </w:pPr>
      <w:rPr>
        <w:rFonts w:ascii="Times New Roman" w:eastAsia="Times New Roman" w:hAnsi="Times New Roman" w:cs="Times New Roman"/>
        <w:b w:val="0"/>
        <w:i w:val="0"/>
        <w:smallCaps w:val="0"/>
        <w:strike w:val="0"/>
        <w:shd w:val="clear" w:color="auto" w:fill="auto"/>
        <w:vertAlign w:val="baseline"/>
      </w:rPr>
    </w:lvl>
  </w:abstractNum>
  <w:abstractNum w:abstractNumId="1">
    <w:nsid w:val="049C0588"/>
    <w:multiLevelType w:val="multilevel"/>
    <w:tmpl w:val="D16234F2"/>
    <w:lvl w:ilvl="0">
      <w:start w:val="4"/>
      <w:numFmt w:val="upperRoman"/>
      <w:lvlText w:val="%1."/>
      <w:lvlJc w:val="left"/>
      <w:pPr>
        <w:ind w:left="266" w:hanging="266"/>
      </w:pPr>
      <w:rPr>
        <w:rFonts w:ascii="Times New Roman" w:eastAsia="Times New Roman" w:hAnsi="Times New Roman" w:cs="Times New Roman"/>
        <w:b w:val="0"/>
        <w:i w:val="0"/>
        <w:smallCaps w:val="0"/>
        <w:strike w:val="0"/>
        <w:color w:val="000000"/>
        <w:shd w:val="clear" w:color="auto" w:fill="auto"/>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hd w:val="clear" w:color="auto" w:fill="auto"/>
        <w:vertAlign w:val="baseline"/>
      </w:rPr>
    </w:lvl>
    <w:lvl w:ilvl="2">
      <w:start w:val="1"/>
      <w:numFmt w:val="decimal"/>
      <w:lvlText w:val="%3)"/>
      <w:lvlJc w:val="left"/>
      <w:pPr>
        <w:ind w:left="252" w:firstLine="36"/>
      </w:pPr>
      <w:rPr>
        <w:rFonts w:ascii="Times New Roman" w:eastAsia="Times New Roman" w:hAnsi="Times New Roman" w:cs="Times New Roman"/>
        <w:b w:val="0"/>
        <w:i/>
        <w:smallCaps w:val="0"/>
        <w:strike w:val="0"/>
        <w:color w:val="000000"/>
        <w:shd w:val="clear" w:color="auto" w:fill="auto"/>
        <w:vertAlign w:val="baseline"/>
      </w:rPr>
    </w:lvl>
    <w:lvl w:ilvl="3">
      <w:start w:val="1"/>
      <w:numFmt w:val="lowerLetter"/>
      <w:lvlText w:val="%4)"/>
      <w:lvlJc w:val="left"/>
      <w:pPr>
        <w:ind w:left="216" w:firstLine="288"/>
      </w:pPr>
      <w:rPr>
        <w:rFonts w:ascii="Times New Roman" w:eastAsia="Times New Roman" w:hAnsi="Times New Roman" w:cs="Times New Roman"/>
        <w:b w:val="0"/>
        <w:i/>
        <w:smallCaps w:val="0"/>
        <w:strike w:val="0"/>
        <w:shd w:val="clear" w:color="auto" w:fill="auto"/>
        <w:vertAlign w:val="baseline"/>
      </w:rPr>
    </w:lvl>
    <w:lvl w:ilvl="4">
      <w:start w:val="1"/>
      <w:numFmt w:val="lowerLetter"/>
      <w:lvlText w:val="%5)"/>
      <w:lvlJc w:val="left"/>
      <w:pPr>
        <w:ind w:left="1908" w:firstLine="288"/>
      </w:pPr>
      <w:rPr>
        <w:rFonts w:ascii="Times New Roman" w:eastAsia="Times New Roman" w:hAnsi="Times New Roman" w:cs="Times New Roman"/>
        <w:b w:val="0"/>
        <w:i/>
        <w:smallCaps w:val="0"/>
        <w:strike w:val="0"/>
        <w:shd w:val="clear" w:color="auto" w:fill="auto"/>
        <w:vertAlign w:val="baseline"/>
      </w:rPr>
    </w:lvl>
    <w:lvl w:ilvl="5">
      <w:start w:val="1"/>
      <w:numFmt w:val="lowerLetter"/>
      <w:lvlText w:val="(%6)"/>
      <w:lvlJc w:val="left"/>
      <w:pPr>
        <w:ind w:left="3600" w:firstLine="288"/>
      </w:pPr>
      <w:rPr>
        <w:rFonts w:ascii="Times New Roman" w:eastAsia="Times New Roman" w:hAnsi="Times New Roman" w:cs="Times New Roman"/>
        <w:b w:val="0"/>
        <w:i/>
        <w:smallCaps w:val="0"/>
        <w:strike w:val="0"/>
        <w:shd w:val="clear" w:color="auto" w:fill="auto"/>
        <w:vertAlign w:val="baseline"/>
      </w:rPr>
    </w:lvl>
    <w:lvl w:ilvl="6">
      <w:start w:val="1"/>
      <w:numFmt w:val="lowerRoman"/>
      <w:lvlText w:val="(%7)"/>
      <w:lvlJc w:val="left"/>
      <w:pPr>
        <w:ind w:left="4320" w:firstLine="288"/>
      </w:pPr>
      <w:rPr>
        <w:rFonts w:ascii="Times New Roman" w:eastAsia="Times New Roman" w:hAnsi="Times New Roman" w:cs="Times New Roman"/>
        <w:b w:val="0"/>
        <w:i/>
        <w:smallCaps w:val="0"/>
        <w:strike w:val="0"/>
        <w:shd w:val="clear" w:color="auto" w:fill="auto"/>
        <w:vertAlign w:val="baseline"/>
      </w:rPr>
    </w:lvl>
    <w:lvl w:ilvl="7">
      <w:start w:val="1"/>
      <w:numFmt w:val="lowerLetter"/>
      <w:lvlText w:val="(%8)"/>
      <w:lvlJc w:val="left"/>
      <w:pPr>
        <w:ind w:left="5040" w:firstLine="288"/>
      </w:pPr>
      <w:rPr>
        <w:rFonts w:ascii="Times New Roman" w:eastAsia="Times New Roman" w:hAnsi="Times New Roman" w:cs="Times New Roman"/>
        <w:b w:val="0"/>
        <w:i/>
        <w:smallCaps w:val="0"/>
        <w:strike w:val="0"/>
        <w:shd w:val="clear" w:color="auto" w:fill="auto"/>
        <w:vertAlign w:val="baseline"/>
      </w:rPr>
    </w:lvl>
    <w:lvl w:ilvl="8">
      <w:start w:val="1"/>
      <w:numFmt w:val="lowerRoman"/>
      <w:lvlText w:val="(%9)"/>
      <w:lvlJc w:val="left"/>
      <w:pPr>
        <w:ind w:left="5760" w:firstLine="288"/>
      </w:pPr>
      <w:rPr>
        <w:rFonts w:ascii="Times New Roman" w:eastAsia="Times New Roman" w:hAnsi="Times New Roman" w:cs="Times New Roman"/>
        <w:b w:val="0"/>
        <w:i/>
        <w:smallCaps w:val="0"/>
        <w:strike w:val="0"/>
        <w:shd w:val="clear" w:color="auto" w:fill="auto"/>
        <w:vertAlign w:val="baseline"/>
      </w:rPr>
    </w:lvl>
  </w:abstractNum>
  <w:abstractNum w:abstractNumId="2">
    <w:nsid w:val="2A4313C2"/>
    <w:multiLevelType w:val="multilevel"/>
    <w:tmpl w:val="51B859DE"/>
    <w:lvl w:ilvl="0">
      <w:start w:val="1"/>
      <w:numFmt w:val="upperRoman"/>
      <w:lvlText w:val="%1."/>
      <w:lvlJc w:val="left"/>
      <w:pPr>
        <w:ind w:left="266" w:hanging="266"/>
      </w:pPr>
      <w:rPr>
        <w:rFonts w:ascii="Times New Roman" w:eastAsia="Times New Roman" w:hAnsi="Times New Roman" w:cs="Times New Roman"/>
        <w:b w:val="0"/>
        <w:i w:val="0"/>
        <w:smallCaps w:val="0"/>
        <w:strike w:val="0"/>
        <w:color w:val="000000"/>
        <w:shd w:val="clear" w:color="auto" w:fill="auto"/>
        <w:vertAlign w:val="baseline"/>
      </w:rPr>
    </w:lvl>
    <w:lvl w:ilvl="1">
      <w:start w:val="3"/>
      <w:numFmt w:val="upperLetter"/>
      <w:lvlText w:val="%2."/>
      <w:lvlJc w:val="left"/>
      <w:pPr>
        <w:ind w:left="288" w:hanging="288"/>
      </w:pPr>
      <w:rPr>
        <w:rFonts w:ascii="Times New Roman" w:eastAsia="Times New Roman" w:hAnsi="Times New Roman" w:cs="Times New Roman"/>
        <w:b w:val="0"/>
        <w:i/>
        <w:smallCaps w:val="0"/>
        <w:strike w:val="0"/>
        <w:color w:val="000000"/>
        <w:shd w:val="clear" w:color="auto" w:fill="auto"/>
        <w:vertAlign w:val="baseline"/>
      </w:rPr>
    </w:lvl>
    <w:lvl w:ilvl="2">
      <w:start w:val="1"/>
      <w:numFmt w:val="decimal"/>
      <w:lvlText w:val="%3)"/>
      <w:lvlJc w:val="left"/>
      <w:pPr>
        <w:ind w:left="252" w:firstLine="36"/>
      </w:pPr>
      <w:rPr>
        <w:rFonts w:ascii="Times New Roman" w:eastAsia="Times New Roman" w:hAnsi="Times New Roman" w:cs="Times New Roman"/>
        <w:b w:val="0"/>
        <w:i/>
        <w:smallCaps w:val="0"/>
        <w:strike w:val="0"/>
        <w:color w:val="000000"/>
        <w:shd w:val="clear" w:color="auto" w:fill="auto"/>
        <w:vertAlign w:val="baseline"/>
      </w:rPr>
    </w:lvl>
    <w:lvl w:ilvl="3">
      <w:start w:val="1"/>
      <w:numFmt w:val="lowerLetter"/>
      <w:lvlText w:val="%4)"/>
      <w:lvlJc w:val="left"/>
      <w:pPr>
        <w:ind w:left="216" w:firstLine="288"/>
      </w:pPr>
      <w:rPr>
        <w:rFonts w:ascii="Times New Roman" w:eastAsia="Times New Roman" w:hAnsi="Times New Roman" w:cs="Times New Roman"/>
        <w:b w:val="0"/>
        <w:i/>
        <w:smallCaps w:val="0"/>
        <w:strike w:val="0"/>
        <w:shd w:val="clear" w:color="auto" w:fill="auto"/>
        <w:vertAlign w:val="baseline"/>
      </w:rPr>
    </w:lvl>
    <w:lvl w:ilvl="4">
      <w:start w:val="1"/>
      <w:numFmt w:val="lowerLetter"/>
      <w:lvlText w:val="%5)"/>
      <w:lvlJc w:val="left"/>
      <w:pPr>
        <w:ind w:left="1908" w:firstLine="288"/>
      </w:pPr>
      <w:rPr>
        <w:rFonts w:ascii="Times New Roman" w:eastAsia="Times New Roman" w:hAnsi="Times New Roman" w:cs="Times New Roman"/>
        <w:b w:val="0"/>
        <w:i/>
        <w:smallCaps w:val="0"/>
        <w:strike w:val="0"/>
        <w:shd w:val="clear" w:color="auto" w:fill="auto"/>
        <w:vertAlign w:val="baseline"/>
      </w:rPr>
    </w:lvl>
    <w:lvl w:ilvl="5">
      <w:start w:val="1"/>
      <w:numFmt w:val="lowerLetter"/>
      <w:lvlText w:val="(%6)"/>
      <w:lvlJc w:val="left"/>
      <w:pPr>
        <w:ind w:left="3600" w:firstLine="288"/>
      </w:pPr>
      <w:rPr>
        <w:rFonts w:ascii="Times New Roman" w:eastAsia="Times New Roman" w:hAnsi="Times New Roman" w:cs="Times New Roman"/>
        <w:b w:val="0"/>
        <w:i/>
        <w:smallCaps w:val="0"/>
        <w:strike w:val="0"/>
        <w:shd w:val="clear" w:color="auto" w:fill="auto"/>
        <w:vertAlign w:val="baseline"/>
      </w:rPr>
    </w:lvl>
    <w:lvl w:ilvl="6">
      <w:start w:val="1"/>
      <w:numFmt w:val="lowerRoman"/>
      <w:lvlText w:val="(%7)"/>
      <w:lvlJc w:val="left"/>
      <w:pPr>
        <w:ind w:left="4320" w:firstLine="288"/>
      </w:pPr>
      <w:rPr>
        <w:rFonts w:ascii="Times New Roman" w:eastAsia="Times New Roman" w:hAnsi="Times New Roman" w:cs="Times New Roman"/>
        <w:b w:val="0"/>
        <w:i/>
        <w:smallCaps w:val="0"/>
        <w:strike w:val="0"/>
        <w:shd w:val="clear" w:color="auto" w:fill="auto"/>
        <w:vertAlign w:val="baseline"/>
      </w:rPr>
    </w:lvl>
    <w:lvl w:ilvl="7">
      <w:start w:val="1"/>
      <w:numFmt w:val="lowerLetter"/>
      <w:lvlText w:val="(%8)"/>
      <w:lvlJc w:val="left"/>
      <w:pPr>
        <w:ind w:left="5040" w:firstLine="288"/>
      </w:pPr>
      <w:rPr>
        <w:rFonts w:ascii="Times New Roman" w:eastAsia="Times New Roman" w:hAnsi="Times New Roman" w:cs="Times New Roman"/>
        <w:b w:val="0"/>
        <w:i/>
        <w:smallCaps w:val="0"/>
        <w:strike w:val="0"/>
        <w:shd w:val="clear" w:color="auto" w:fill="auto"/>
        <w:vertAlign w:val="baseline"/>
      </w:rPr>
    </w:lvl>
    <w:lvl w:ilvl="8">
      <w:start w:val="1"/>
      <w:numFmt w:val="lowerRoman"/>
      <w:lvlText w:val="(%9)"/>
      <w:lvlJc w:val="left"/>
      <w:pPr>
        <w:ind w:left="5760" w:firstLine="288"/>
      </w:pPr>
      <w:rPr>
        <w:rFonts w:ascii="Times New Roman" w:eastAsia="Times New Roman" w:hAnsi="Times New Roman" w:cs="Times New Roman"/>
        <w:b w:val="0"/>
        <w:i/>
        <w:smallCaps w:val="0"/>
        <w:strike w:val="0"/>
        <w:shd w:val="clear" w:color="auto" w:fill="auto"/>
        <w:vertAlign w:val="baseline"/>
      </w:rPr>
    </w:lvl>
  </w:abstractNum>
  <w:abstractNum w:abstractNumId="3">
    <w:nsid w:val="3A377EC1"/>
    <w:multiLevelType w:val="multilevel"/>
    <w:tmpl w:val="F8E030D6"/>
    <w:lvl w:ilvl="0">
      <w:start w:val="1"/>
      <w:numFmt w:val="lowerLetter"/>
      <w:lvlText w:val="%1."/>
      <w:lvlJc w:val="left"/>
      <w:pPr>
        <w:ind w:left="691" w:hanging="662"/>
      </w:pPr>
      <w:rPr>
        <w:rFonts w:ascii="Times New Roman" w:eastAsia="Times New Roman" w:hAnsi="Times New Roman" w:cs="Times New Roman"/>
        <w:b w:val="0"/>
        <w:i w:val="0"/>
        <w:smallCaps w:val="0"/>
        <w:strike w:val="0"/>
        <w:color w:val="000000"/>
        <w:sz w:val="16"/>
        <w:szCs w:val="16"/>
        <w:shd w:val="clear" w:color="auto" w:fill="auto"/>
        <w:vertAlign w:val="baseline"/>
      </w:rPr>
    </w:lvl>
    <w:lvl w:ilvl="1">
      <w:start w:val="1"/>
      <w:numFmt w:val="lowerLetter"/>
      <w:lvlText w:val="%2."/>
      <w:lvlJc w:val="left"/>
      <w:pPr>
        <w:ind w:left="1080" w:hanging="360"/>
      </w:pPr>
      <w:rPr>
        <w:rFonts w:ascii="Times New Roman" w:eastAsia="Times New Roman" w:hAnsi="Times New Roman" w:cs="Times New Roman"/>
        <w:b w:val="0"/>
        <w:i w:val="0"/>
        <w:smallCaps w:val="0"/>
        <w:strike w:val="0"/>
        <w:color w:val="000000"/>
        <w:shd w:val="clear" w:color="auto" w:fill="auto"/>
        <w:vertAlign w:val="baseline"/>
      </w:rPr>
    </w:lvl>
    <w:lvl w:ilvl="2">
      <w:start w:val="1"/>
      <w:numFmt w:val="lowerRoman"/>
      <w:lvlText w:val="%3."/>
      <w:lvlJc w:val="left"/>
      <w:pPr>
        <w:ind w:left="1800" w:hanging="180"/>
      </w:pPr>
      <w:rPr>
        <w:rFonts w:ascii="Times New Roman" w:eastAsia="Times New Roman" w:hAnsi="Times New Roman" w:cs="Times New Roman"/>
        <w:b w:val="0"/>
        <w:i w:val="0"/>
        <w:smallCaps w:val="0"/>
        <w:strike w:val="0"/>
        <w:color w:val="000000"/>
        <w:shd w:val="clear" w:color="auto" w:fill="auto"/>
        <w:vertAlign w:val="baseline"/>
      </w:rPr>
    </w:lvl>
    <w:lvl w:ilvl="3">
      <w:start w:val="1"/>
      <w:numFmt w:val="decimal"/>
      <w:lvlText w:val="%4."/>
      <w:lvlJc w:val="left"/>
      <w:pPr>
        <w:ind w:left="2520" w:hanging="360"/>
      </w:pPr>
      <w:rPr>
        <w:rFonts w:ascii="Times New Roman" w:eastAsia="Times New Roman" w:hAnsi="Times New Roman" w:cs="Times New Roman"/>
        <w:b w:val="0"/>
        <w:i w:val="0"/>
        <w:smallCaps w:val="0"/>
        <w:strike w:val="0"/>
        <w:color w:val="000000"/>
        <w:shd w:val="clear" w:color="auto" w:fill="auto"/>
        <w:vertAlign w:val="baseline"/>
      </w:rPr>
    </w:lvl>
    <w:lvl w:ilvl="4">
      <w:start w:val="1"/>
      <w:numFmt w:val="lowerLetter"/>
      <w:lvlText w:val="%5."/>
      <w:lvlJc w:val="left"/>
      <w:pPr>
        <w:ind w:left="3240" w:hanging="360"/>
      </w:pPr>
      <w:rPr>
        <w:rFonts w:ascii="Times New Roman" w:eastAsia="Times New Roman" w:hAnsi="Times New Roman" w:cs="Times New Roman"/>
        <w:b w:val="0"/>
        <w:i w:val="0"/>
        <w:smallCaps w:val="0"/>
        <w:strike w:val="0"/>
        <w:color w:val="000000"/>
        <w:shd w:val="clear" w:color="auto" w:fill="auto"/>
        <w:vertAlign w:val="baseline"/>
      </w:rPr>
    </w:lvl>
    <w:lvl w:ilvl="5">
      <w:start w:val="1"/>
      <w:numFmt w:val="lowerRoman"/>
      <w:lvlText w:val="%6."/>
      <w:lvlJc w:val="left"/>
      <w:pPr>
        <w:ind w:left="3960" w:hanging="180"/>
      </w:pPr>
      <w:rPr>
        <w:rFonts w:ascii="Times New Roman" w:eastAsia="Times New Roman" w:hAnsi="Times New Roman" w:cs="Times New Roman"/>
        <w:b w:val="0"/>
        <w:i w:val="0"/>
        <w:smallCaps w:val="0"/>
        <w:strike w:val="0"/>
        <w:color w:val="000000"/>
        <w:shd w:val="clear" w:color="auto" w:fill="auto"/>
        <w:vertAlign w:val="baseline"/>
      </w:rPr>
    </w:lvl>
    <w:lvl w:ilvl="6">
      <w:start w:val="1"/>
      <w:numFmt w:val="decimal"/>
      <w:lvlText w:val="%7."/>
      <w:lvlJc w:val="left"/>
      <w:pPr>
        <w:ind w:left="4680" w:hanging="360"/>
      </w:pPr>
      <w:rPr>
        <w:rFonts w:ascii="Times New Roman" w:eastAsia="Times New Roman" w:hAnsi="Times New Roman" w:cs="Times New Roman"/>
        <w:b w:val="0"/>
        <w:i w:val="0"/>
        <w:smallCaps w:val="0"/>
        <w:strike w:val="0"/>
        <w:color w:val="000000"/>
        <w:shd w:val="clear" w:color="auto" w:fill="auto"/>
        <w:vertAlign w:val="baseline"/>
      </w:rPr>
    </w:lvl>
    <w:lvl w:ilvl="7">
      <w:start w:val="1"/>
      <w:numFmt w:val="lowerLetter"/>
      <w:lvlText w:val="%8."/>
      <w:lvlJc w:val="left"/>
      <w:pPr>
        <w:ind w:left="5400" w:hanging="360"/>
      </w:pPr>
      <w:rPr>
        <w:rFonts w:ascii="Times New Roman" w:eastAsia="Times New Roman" w:hAnsi="Times New Roman" w:cs="Times New Roman"/>
        <w:b w:val="0"/>
        <w:i w:val="0"/>
        <w:smallCaps w:val="0"/>
        <w:strike w:val="0"/>
        <w:color w:val="000000"/>
        <w:shd w:val="clear" w:color="auto" w:fill="auto"/>
        <w:vertAlign w:val="baseline"/>
      </w:rPr>
    </w:lvl>
    <w:lvl w:ilvl="8">
      <w:start w:val="1"/>
      <w:numFmt w:val="lowerRoman"/>
      <w:lvlText w:val="%9."/>
      <w:lvlJc w:val="left"/>
      <w:pPr>
        <w:ind w:left="6120" w:hanging="180"/>
      </w:pPr>
      <w:rPr>
        <w:rFonts w:ascii="Times New Roman" w:eastAsia="Times New Roman" w:hAnsi="Times New Roman" w:cs="Times New Roman"/>
        <w:b w:val="0"/>
        <w:i w:val="0"/>
        <w:smallCaps w:val="0"/>
        <w:strike w:val="0"/>
        <w:color w:val="000000"/>
        <w:shd w:val="clear" w:color="auto" w:fill="auto"/>
        <w:vertAlign w:val="baseline"/>
      </w:rPr>
    </w:lvl>
  </w:abstractNum>
  <w:abstractNum w:abstractNumId="4">
    <w:nsid w:val="42ED4A87"/>
    <w:multiLevelType w:val="multilevel"/>
    <w:tmpl w:val="AE383312"/>
    <w:lvl w:ilvl="0">
      <w:start w:val="1"/>
      <w:numFmt w:val="upperRoman"/>
      <w:lvlText w:val="%1."/>
      <w:lvlJc w:val="left"/>
      <w:pPr>
        <w:ind w:left="266" w:hanging="266"/>
      </w:pPr>
      <w:rPr>
        <w:rFonts w:ascii="Times New Roman" w:eastAsia="Times New Roman" w:hAnsi="Times New Roman" w:cs="Times New Roman"/>
        <w:b w:val="0"/>
        <w:i w:val="0"/>
        <w:smallCaps w:val="0"/>
        <w:strike w:val="0"/>
        <w:color w:val="000000"/>
        <w:shd w:val="clear" w:color="auto" w:fill="auto"/>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hd w:val="clear" w:color="auto" w:fill="auto"/>
        <w:vertAlign w:val="baseline"/>
      </w:rPr>
    </w:lvl>
    <w:lvl w:ilvl="2">
      <w:start w:val="1"/>
      <w:numFmt w:val="decimal"/>
      <w:lvlText w:val="%3)"/>
      <w:lvlJc w:val="left"/>
      <w:pPr>
        <w:ind w:left="252" w:firstLine="36"/>
      </w:pPr>
      <w:rPr>
        <w:rFonts w:ascii="Times New Roman" w:eastAsia="Times New Roman" w:hAnsi="Times New Roman" w:cs="Times New Roman"/>
        <w:b w:val="0"/>
        <w:i/>
        <w:smallCaps w:val="0"/>
        <w:strike w:val="0"/>
        <w:color w:val="000000"/>
        <w:shd w:val="clear" w:color="auto" w:fill="auto"/>
        <w:vertAlign w:val="baseline"/>
      </w:rPr>
    </w:lvl>
    <w:lvl w:ilvl="3">
      <w:start w:val="1"/>
      <w:numFmt w:val="lowerLetter"/>
      <w:lvlText w:val="%4)"/>
      <w:lvlJc w:val="left"/>
      <w:pPr>
        <w:ind w:left="216" w:firstLine="288"/>
      </w:pPr>
      <w:rPr>
        <w:rFonts w:ascii="Times New Roman" w:eastAsia="Times New Roman" w:hAnsi="Times New Roman" w:cs="Times New Roman"/>
        <w:b w:val="0"/>
        <w:i/>
        <w:smallCaps w:val="0"/>
        <w:strike w:val="0"/>
        <w:shd w:val="clear" w:color="auto" w:fill="auto"/>
        <w:vertAlign w:val="baseline"/>
      </w:rPr>
    </w:lvl>
    <w:lvl w:ilvl="4">
      <w:start w:val="1"/>
      <w:numFmt w:val="lowerLetter"/>
      <w:lvlText w:val="%5)"/>
      <w:lvlJc w:val="left"/>
      <w:pPr>
        <w:ind w:left="1908" w:firstLine="288"/>
      </w:pPr>
      <w:rPr>
        <w:rFonts w:ascii="Times New Roman" w:eastAsia="Times New Roman" w:hAnsi="Times New Roman" w:cs="Times New Roman"/>
        <w:b w:val="0"/>
        <w:i/>
        <w:smallCaps w:val="0"/>
        <w:strike w:val="0"/>
        <w:shd w:val="clear" w:color="auto" w:fill="auto"/>
        <w:vertAlign w:val="baseline"/>
      </w:rPr>
    </w:lvl>
    <w:lvl w:ilvl="5">
      <w:start w:val="1"/>
      <w:numFmt w:val="lowerLetter"/>
      <w:lvlText w:val="(%6)"/>
      <w:lvlJc w:val="left"/>
      <w:pPr>
        <w:ind w:left="3600" w:firstLine="288"/>
      </w:pPr>
      <w:rPr>
        <w:rFonts w:ascii="Times New Roman" w:eastAsia="Times New Roman" w:hAnsi="Times New Roman" w:cs="Times New Roman"/>
        <w:b w:val="0"/>
        <w:i/>
        <w:smallCaps w:val="0"/>
        <w:strike w:val="0"/>
        <w:shd w:val="clear" w:color="auto" w:fill="auto"/>
        <w:vertAlign w:val="baseline"/>
      </w:rPr>
    </w:lvl>
    <w:lvl w:ilvl="6">
      <w:start w:val="1"/>
      <w:numFmt w:val="lowerRoman"/>
      <w:lvlText w:val="(%7)"/>
      <w:lvlJc w:val="left"/>
      <w:pPr>
        <w:ind w:left="4320" w:firstLine="288"/>
      </w:pPr>
      <w:rPr>
        <w:rFonts w:ascii="Times New Roman" w:eastAsia="Times New Roman" w:hAnsi="Times New Roman" w:cs="Times New Roman"/>
        <w:b w:val="0"/>
        <w:i/>
        <w:smallCaps w:val="0"/>
        <w:strike w:val="0"/>
        <w:shd w:val="clear" w:color="auto" w:fill="auto"/>
        <w:vertAlign w:val="baseline"/>
      </w:rPr>
    </w:lvl>
    <w:lvl w:ilvl="7">
      <w:start w:val="1"/>
      <w:numFmt w:val="lowerLetter"/>
      <w:lvlText w:val="(%8)"/>
      <w:lvlJc w:val="left"/>
      <w:pPr>
        <w:ind w:left="5040" w:firstLine="288"/>
      </w:pPr>
      <w:rPr>
        <w:rFonts w:ascii="Times New Roman" w:eastAsia="Times New Roman" w:hAnsi="Times New Roman" w:cs="Times New Roman"/>
        <w:b w:val="0"/>
        <w:i/>
        <w:smallCaps w:val="0"/>
        <w:strike w:val="0"/>
        <w:shd w:val="clear" w:color="auto" w:fill="auto"/>
        <w:vertAlign w:val="baseline"/>
      </w:rPr>
    </w:lvl>
    <w:lvl w:ilvl="8">
      <w:start w:val="1"/>
      <w:numFmt w:val="lowerRoman"/>
      <w:lvlText w:val="(%9)"/>
      <w:lvlJc w:val="left"/>
      <w:pPr>
        <w:ind w:left="5760" w:firstLine="288"/>
      </w:pPr>
      <w:rPr>
        <w:rFonts w:ascii="Times New Roman" w:eastAsia="Times New Roman" w:hAnsi="Times New Roman" w:cs="Times New Roman"/>
        <w:b w:val="0"/>
        <w:i/>
        <w:smallCaps w:val="0"/>
        <w:strike w:val="0"/>
        <w:shd w:val="clear" w:color="auto" w:fill="auto"/>
        <w:vertAlign w:val="baseline"/>
      </w:rPr>
    </w:lvl>
  </w:abstractNum>
  <w:abstractNum w:abstractNumId="5">
    <w:nsid w:val="48C27C75"/>
    <w:multiLevelType w:val="multilevel"/>
    <w:tmpl w:val="ADA62ED4"/>
    <w:lvl w:ilvl="0">
      <w:start w:val="1"/>
      <w:numFmt w:val="decimal"/>
      <w:lvlText w:val="%1."/>
      <w:lvlJc w:val="left"/>
      <w:pPr>
        <w:ind w:left="533" w:hanging="533"/>
      </w:pPr>
      <w:rPr>
        <w:rFonts w:ascii="Times New Roman" w:eastAsia="Times New Roman" w:hAnsi="Times New Roman" w:cs="Times New Roman"/>
        <w:b w:val="0"/>
        <w:i w:val="0"/>
        <w:smallCaps w:val="0"/>
        <w:strike w:val="0"/>
        <w:color w:val="000000"/>
        <w:shd w:val="clear" w:color="auto" w:fill="auto"/>
        <w:vertAlign w:val="baseline"/>
      </w:rPr>
    </w:lvl>
    <w:lvl w:ilvl="1">
      <w:start w:val="1"/>
      <w:numFmt w:val="lowerLetter"/>
      <w:lvlText w:val="%2."/>
      <w:lvlJc w:val="left"/>
      <w:pPr>
        <w:ind w:left="1080" w:hanging="360"/>
      </w:pPr>
      <w:rPr>
        <w:rFonts w:ascii="Times New Roman" w:eastAsia="Times New Roman" w:hAnsi="Times New Roman" w:cs="Times New Roman"/>
        <w:b w:val="0"/>
        <w:i w:val="0"/>
        <w:smallCaps w:val="0"/>
        <w:strike w:val="0"/>
        <w:color w:val="000000"/>
        <w:shd w:val="clear" w:color="auto" w:fill="auto"/>
        <w:vertAlign w:val="baseline"/>
      </w:rPr>
    </w:lvl>
    <w:lvl w:ilvl="2">
      <w:start w:val="1"/>
      <w:numFmt w:val="lowerRoman"/>
      <w:lvlText w:val="%3."/>
      <w:lvlJc w:val="left"/>
      <w:pPr>
        <w:ind w:left="1800" w:hanging="180"/>
      </w:pPr>
      <w:rPr>
        <w:rFonts w:ascii="Times New Roman" w:eastAsia="Times New Roman" w:hAnsi="Times New Roman" w:cs="Times New Roman"/>
        <w:b w:val="0"/>
        <w:i w:val="0"/>
        <w:smallCaps w:val="0"/>
        <w:strike w:val="0"/>
        <w:color w:val="000000"/>
        <w:shd w:val="clear" w:color="auto" w:fill="auto"/>
        <w:vertAlign w:val="baseline"/>
      </w:rPr>
    </w:lvl>
    <w:lvl w:ilvl="3">
      <w:start w:val="1"/>
      <w:numFmt w:val="decimal"/>
      <w:lvlText w:val="%4."/>
      <w:lvlJc w:val="left"/>
      <w:pPr>
        <w:ind w:left="2520" w:hanging="360"/>
      </w:pPr>
      <w:rPr>
        <w:rFonts w:ascii="Times New Roman" w:eastAsia="Times New Roman" w:hAnsi="Times New Roman" w:cs="Times New Roman"/>
        <w:b w:val="0"/>
        <w:i w:val="0"/>
        <w:smallCaps w:val="0"/>
        <w:strike w:val="0"/>
        <w:color w:val="000000"/>
        <w:shd w:val="clear" w:color="auto" w:fill="auto"/>
        <w:vertAlign w:val="baseline"/>
      </w:rPr>
    </w:lvl>
    <w:lvl w:ilvl="4">
      <w:start w:val="1"/>
      <w:numFmt w:val="lowerLetter"/>
      <w:lvlText w:val="%5."/>
      <w:lvlJc w:val="left"/>
      <w:pPr>
        <w:ind w:left="3240" w:hanging="360"/>
      </w:pPr>
      <w:rPr>
        <w:rFonts w:ascii="Times New Roman" w:eastAsia="Times New Roman" w:hAnsi="Times New Roman" w:cs="Times New Roman"/>
        <w:b w:val="0"/>
        <w:i w:val="0"/>
        <w:smallCaps w:val="0"/>
        <w:strike w:val="0"/>
        <w:color w:val="000000"/>
        <w:shd w:val="clear" w:color="auto" w:fill="auto"/>
        <w:vertAlign w:val="baseline"/>
      </w:rPr>
    </w:lvl>
    <w:lvl w:ilvl="5">
      <w:start w:val="1"/>
      <w:numFmt w:val="lowerRoman"/>
      <w:lvlText w:val="%6."/>
      <w:lvlJc w:val="left"/>
      <w:pPr>
        <w:ind w:left="3960" w:hanging="180"/>
      </w:pPr>
      <w:rPr>
        <w:rFonts w:ascii="Times New Roman" w:eastAsia="Times New Roman" w:hAnsi="Times New Roman" w:cs="Times New Roman"/>
        <w:b w:val="0"/>
        <w:i w:val="0"/>
        <w:smallCaps w:val="0"/>
        <w:strike w:val="0"/>
        <w:color w:val="000000"/>
        <w:shd w:val="clear" w:color="auto" w:fill="auto"/>
        <w:vertAlign w:val="baseline"/>
      </w:rPr>
    </w:lvl>
    <w:lvl w:ilvl="6">
      <w:start w:val="1"/>
      <w:numFmt w:val="decimal"/>
      <w:lvlText w:val="%7."/>
      <w:lvlJc w:val="left"/>
      <w:pPr>
        <w:ind w:left="4680" w:hanging="360"/>
      </w:pPr>
      <w:rPr>
        <w:rFonts w:ascii="Times New Roman" w:eastAsia="Times New Roman" w:hAnsi="Times New Roman" w:cs="Times New Roman"/>
        <w:b w:val="0"/>
        <w:i w:val="0"/>
        <w:smallCaps w:val="0"/>
        <w:strike w:val="0"/>
        <w:color w:val="000000"/>
        <w:shd w:val="clear" w:color="auto" w:fill="auto"/>
        <w:vertAlign w:val="baseline"/>
      </w:rPr>
    </w:lvl>
    <w:lvl w:ilvl="7">
      <w:start w:val="1"/>
      <w:numFmt w:val="lowerLetter"/>
      <w:lvlText w:val="%8."/>
      <w:lvlJc w:val="left"/>
      <w:pPr>
        <w:ind w:left="5400" w:hanging="360"/>
      </w:pPr>
      <w:rPr>
        <w:rFonts w:ascii="Times New Roman" w:eastAsia="Times New Roman" w:hAnsi="Times New Roman" w:cs="Times New Roman"/>
        <w:b w:val="0"/>
        <w:i w:val="0"/>
        <w:smallCaps w:val="0"/>
        <w:strike w:val="0"/>
        <w:color w:val="000000"/>
        <w:shd w:val="clear" w:color="auto" w:fill="auto"/>
        <w:vertAlign w:val="baseline"/>
      </w:rPr>
    </w:lvl>
    <w:lvl w:ilvl="8">
      <w:start w:val="1"/>
      <w:numFmt w:val="lowerRoman"/>
      <w:lvlText w:val="%9."/>
      <w:lvlJc w:val="left"/>
      <w:pPr>
        <w:ind w:left="6120" w:hanging="180"/>
      </w:pPr>
      <w:rPr>
        <w:rFonts w:ascii="Times New Roman" w:eastAsia="Times New Roman" w:hAnsi="Times New Roman" w:cs="Times New Roman"/>
        <w:b w:val="0"/>
        <w:i w:val="0"/>
        <w:smallCaps w:val="0"/>
        <w:strike w:val="0"/>
        <w:color w:val="000000"/>
        <w:shd w:val="clear" w:color="auto" w:fill="auto"/>
        <w:vertAlign w:val="baseline"/>
      </w:rPr>
    </w:lvl>
  </w:abstractNum>
  <w:abstractNum w:abstractNumId="6">
    <w:nsid w:val="4AAB40A6"/>
    <w:multiLevelType w:val="multilevel"/>
    <w:tmpl w:val="DD7215F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nsid w:val="55E1677D"/>
    <w:multiLevelType w:val="multilevel"/>
    <w:tmpl w:val="C88895BA"/>
    <w:lvl w:ilvl="0">
      <w:start w:val="1"/>
      <w:numFmt w:val="upperRoman"/>
      <w:lvlText w:val="%1."/>
      <w:lvlJc w:val="left"/>
      <w:pPr>
        <w:ind w:left="266" w:hanging="266"/>
      </w:pPr>
      <w:rPr>
        <w:rFonts w:ascii="Times New Roman" w:eastAsia="Times New Roman" w:hAnsi="Times New Roman" w:cs="Times New Roman"/>
        <w:b w:val="0"/>
        <w:i w:val="0"/>
        <w:smallCaps w:val="0"/>
        <w:strike w:val="0"/>
        <w:color w:val="000000"/>
        <w:shd w:val="clear" w:color="auto" w:fill="auto"/>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hd w:val="clear" w:color="auto" w:fill="auto"/>
        <w:vertAlign w:val="baseline"/>
      </w:rPr>
    </w:lvl>
    <w:lvl w:ilvl="2">
      <w:start w:val="1"/>
      <w:numFmt w:val="decimal"/>
      <w:lvlText w:val="%3)"/>
      <w:lvlJc w:val="left"/>
      <w:pPr>
        <w:ind w:left="108" w:hanging="108"/>
      </w:pPr>
      <w:rPr>
        <w:rFonts w:ascii="Times New Roman" w:eastAsia="Times New Roman" w:hAnsi="Times New Roman" w:cs="Times New Roman"/>
        <w:b w:val="0"/>
        <w:i/>
        <w:smallCaps w:val="0"/>
        <w:strike w:val="0"/>
        <w:color w:val="000000"/>
        <w:shd w:val="clear" w:color="auto" w:fill="auto"/>
        <w:vertAlign w:val="baseline"/>
      </w:rPr>
    </w:lvl>
    <w:lvl w:ilvl="3">
      <w:start w:val="1"/>
      <w:numFmt w:val="lowerLetter"/>
      <w:lvlText w:val="%4)"/>
      <w:lvlJc w:val="left"/>
      <w:pPr>
        <w:ind w:left="216" w:firstLine="288"/>
      </w:pPr>
      <w:rPr>
        <w:rFonts w:ascii="Times New Roman" w:eastAsia="Times New Roman" w:hAnsi="Times New Roman" w:cs="Times New Roman"/>
        <w:b w:val="0"/>
        <w:i/>
        <w:smallCaps w:val="0"/>
        <w:strike w:val="0"/>
        <w:shd w:val="clear" w:color="auto" w:fill="auto"/>
        <w:vertAlign w:val="baseline"/>
      </w:rPr>
    </w:lvl>
    <w:lvl w:ilvl="4">
      <w:start w:val="1"/>
      <w:numFmt w:val="lowerLetter"/>
      <w:lvlText w:val="%5)"/>
      <w:lvlJc w:val="left"/>
      <w:pPr>
        <w:ind w:left="1908" w:firstLine="288"/>
      </w:pPr>
      <w:rPr>
        <w:rFonts w:ascii="Times New Roman" w:eastAsia="Times New Roman" w:hAnsi="Times New Roman" w:cs="Times New Roman"/>
        <w:b w:val="0"/>
        <w:i/>
        <w:smallCaps w:val="0"/>
        <w:strike w:val="0"/>
        <w:shd w:val="clear" w:color="auto" w:fill="auto"/>
        <w:vertAlign w:val="baseline"/>
      </w:rPr>
    </w:lvl>
    <w:lvl w:ilvl="5">
      <w:start w:val="1"/>
      <w:numFmt w:val="lowerLetter"/>
      <w:lvlText w:val="(%6)"/>
      <w:lvlJc w:val="left"/>
      <w:pPr>
        <w:ind w:left="3600" w:firstLine="288"/>
      </w:pPr>
      <w:rPr>
        <w:rFonts w:ascii="Times New Roman" w:eastAsia="Times New Roman" w:hAnsi="Times New Roman" w:cs="Times New Roman"/>
        <w:b w:val="0"/>
        <w:i/>
        <w:smallCaps w:val="0"/>
        <w:strike w:val="0"/>
        <w:shd w:val="clear" w:color="auto" w:fill="auto"/>
        <w:vertAlign w:val="baseline"/>
      </w:rPr>
    </w:lvl>
    <w:lvl w:ilvl="6">
      <w:start w:val="1"/>
      <w:numFmt w:val="lowerRoman"/>
      <w:lvlText w:val="(%7)"/>
      <w:lvlJc w:val="left"/>
      <w:pPr>
        <w:ind w:left="4320" w:firstLine="288"/>
      </w:pPr>
      <w:rPr>
        <w:rFonts w:ascii="Times New Roman" w:eastAsia="Times New Roman" w:hAnsi="Times New Roman" w:cs="Times New Roman"/>
        <w:b w:val="0"/>
        <w:i/>
        <w:smallCaps w:val="0"/>
        <w:strike w:val="0"/>
        <w:shd w:val="clear" w:color="auto" w:fill="auto"/>
        <w:vertAlign w:val="baseline"/>
      </w:rPr>
    </w:lvl>
    <w:lvl w:ilvl="7">
      <w:start w:val="1"/>
      <w:numFmt w:val="lowerLetter"/>
      <w:lvlText w:val="(%8)"/>
      <w:lvlJc w:val="left"/>
      <w:pPr>
        <w:ind w:left="5040" w:firstLine="288"/>
      </w:pPr>
      <w:rPr>
        <w:rFonts w:ascii="Times New Roman" w:eastAsia="Times New Roman" w:hAnsi="Times New Roman" w:cs="Times New Roman"/>
        <w:b w:val="0"/>
        <w:i/>
        <w:smallCaps w:val="0"/>
        <w:strike w:val="0"/>
        <w:shd w:val="clear" w:color="auto" w:fill="auto"/>
        <w:vertAlign w:val="baseline"/>
      </w:rPr>
    </w:lvl>
    <w:lvl w:ilvl="8">
      <w:start w:val="1"/>
      <w:numFmt w:val="lowerRoman"/>
      <w:lvlText w:val="(%9)"/>
      <w:lvlJc w:val="left"/>
      <w:pPr>
        <w:ind w:left="5760" w:firstLine="288"/>
      </w:pPr>
      <w:rPr>
        <w:rFonts w:ascii="Times New Roman" w:eastAsia="Times New Roman" w:hAnsi="Times New Roman" w:cs="Times New Roman"/>
        <w:b w:val="0"/>
        <w:i/>
        <w:smallCaps w:val="0"/>
        <w:strike w:val="0"/>
        <w:shd w:val="clear" w:color="auto" w:fill="auto"/>
        <w:vertAlign w:val="baseline"/>
      </w:rPr>
    </w:lvl>
  </w:abstractNum>
  <w:abstractNum w:abstractNumId="8">
    <w:nsid w:val="6735174E"/>
    <w:multiLevelType w:val="multilevel"/>
    <w:tmpl w:val="9F4E1EA0"/>
    <w:lvl w:ilvl="0">
      <w:start w:val="1"/>
      <w:numFmt w:val="bullet"/>
      <w:lvlText w:val="●"/>
      <w:lvlJc w:val="left"/>
      <w:pPr>
        <w:ind w:left="576" w:hanging="288"/>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368" w:hanging="287"/>
      </w:pPr>
      <w:rPr>
        <w:rFonts w:ascii="Arimo" w:eastAsia="Arimo" w:hAnsi="Arimo" w:cs="Arimo"/>
        <w:b w:val="0"/>
        <w:i w:val="0"/>
        <w:smallCaps w:val="0"/>
        <w:strike w:val="0"/>
        <w:shd w:val="clear" w:color="auto" w:fill="auto"/>
        <w:vertAlign w:val="baseline"/>
      </w:rPr>
    </w:lvl>
    <w:lvl w:ilvl="2">
      <w:start w:val="1"/>
      <w:numFmt w:val="bullet"/>
      <w:lvlText w:val="▪"/>
      <w:lvlJc w:val="left"/>
      <w:pPr>
        <w:ind w:left="2088" w:hanging="288"/>
      </w:pPr>
      <w:rPr>
        <w:rFonts w:ascii="Arimo" w:eastAsia="Arimo" w:hAnsi="Arimo" w:cs="Arimo"/>
        <w:b w:val="0"/>
        <w:i w:val="0"/>
        <w:smallCaps w:val="0"/>
        <w:strike w:val="0"/>
        <w:shd w:val="clear" w:color="auto" w:fill="auto"/>
        <w:vertAlign w:val="baseline"/>
      </w:rPr>
    </w:lvl>
    <w:lvl w:ilvl="3">
      <w:start w:val="1"/>
      <w:numFmt w:val="bullet"/>
      <w:lvlText w:val="●"/>
      <w:lvlJc w:val="left"/>
      <w:pPr>
        <w:ind w:left="2808" w:hanging="288"/>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528" w:hanging="288"/>
      </w:pPr>
      <w:rPr>
        <w:rFonts w:ascii="Arimo" w:eastAsia="Arimo" w:hAnsi="Arimo" w:cs="Arimo"/>
        <w:b w:val="0"/>
        <w:i w:val="0"/>
        <w:smallCaps w:val="0"/>
        <w:strike w:val="0"/>
        <w:shd w:val="clear" w:color="auto" w:fill="auto"/>
        <w:vertAlign w:val="baseline"/>
      </w:rPr>
    </w:lvl>
    <w:lvl w:ilvl="5">
      <w:start w:val="1"/>
      <w:numFmt w:val="bullet"/>
      <w:lvlText w:val="▪"/>
      <w:lvlJc w:val="left"/>
      <w:pPr>
        <w:ind w:left="4248" w:hanging="288"/>
      </w:pPr>
      <w:rPr>
        <w:rFonts w:ascii="Arimo" w:eastAsia="Arimo" w:hAnsi="Arimo" w:cs="Arimo"/>
        <w:b w:val="0"/>
        <w:i w:val="0"/>
        <w:smallCaps w:val="0"/>
        <w:strike w:val="0"/>
        <w:shd w:val="clear" w:color="auto" w:fill="auto"/>
        <w:vertAlign w:val="baseline"/>
      </w:rPr>
    </w:lvl>
    <w:lvl w:ilvl="6">
      <w:start w:val="1"/>
      <w:numFmt w:val="bullet"/>
      <w:lvlText w:val="●"/>
      <w:lvlJc w:val="left"/>
      <w:pPr>
        <w:ind w:left="4968" w:hanging="288"/>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688" w:hanging="288"/>
      </w:pPr>
      <w:rPr>
        <w:rFonts w:ascii="Arimo" w:eastAsia="Arimo" w:hAnsi="Arimo" w:cs="Arimo"/>
        <w:b w:val="0"/>
        <w:i w:val="0"/>
        <w:smallCaps w:val="0"/>
        <w:strike w:val="0"/>
        <w:shd w:val="clear" w:color="auto" w:fill="auto"/>
        <w:vertAlign w:val="baseline"/>
      </w:rPr>
    </w:lvl>
    <w:lvl w:ilvl="8">
      <w:start w:val="1"/>
      <w:numFmt w:val="bullet"/>
      <w:lvlText w:val="▪"/>
      <w:lvlJc w:val="left"/>
      <w:pPr>
        <w:ind w:left="6408" w:hanging="288"/>
      </w:pPr>
      <w:rPr>
        <w:rFonts w:ascii="Arimo" w:eastAsia="Arimo" w:hAnsi="Arimo" w:cs="Arimo"/>
        <w:b w:val="0"/>
        <w:i w:val="0"/>
        <w:smallCaps w:val="0"/>
        <w:strike w:val="0"/>
        <w:shd w:val="clear" w:color="auto" w:fill="auto"/>
        <w:vertAlign w:val="baseline"/>
      </w:rPr>
    </w:lvl>
  </w:abstractNum>
  <w:abstractNum w:abstractNumId="9">
    <w:nsid w:val="70BB7353"/>
    <w:multiLevelType w:val="multilevel"/>
    <w:tmpl w:val="030EB398"/>
    <w:lvl w:ilvl="0">
      <w:start w:val="1"/>
      <w:numFmt w:val="decimal"/>
      <w:lvlText w:val="%1."/>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1">
      <w:start w:val="1"/>
      <w:numFmt w:val="decimal"/>
      <w:lvlText w:val="%2."/>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2">
      <w:start w:val="1"/>
      <w:numFmt w:val="decimal"/>
      <w:lvlText w:val="%3."/>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3">
      <w:start w:val="1"/>
      <w:numFmt w:val="decimal"/>
      <w:lvlText w:val="%4."/>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4">
      <w:start w:val="1"/>
      <w:numFmt w:val="decimal"/>
      <w:lvlText w:val="%5."/>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5">
      <w:start w:val="1"/>
      <w:numFmt w:val="decimal"/>
      <w:lvlText w:val="%6."/>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6">
      <w:start w:val="1"/>
      <w:numFmt w:val="decimal"/>
      <w:lvlText w:val="%7."/>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7">
      <w:start w:val="1"/>
      <w:numFmt w:val="decimal"/>
      <w:lvlText w:val="%8."/>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8">
      <w:start w:val="1"/>
      <w:numFmt w:val="decimal"/>
      <w:lvlText w:val="%9."/>
      <w:lvlJc w:val="left"/>
      <w:pPr>
        <w:ind w:left="354" w:hanging="354"/>
      </w:pPr>
      <w:rPr>
        <w:rFonts w:ascii="Times New Roman" w:eastAsia="Times New Roman" w:hAnsi="Times New Roman" w:cs="Times New Roman"/>
        <w:b w:val="0"/>
        <w:i w:val="0"/>
        <w:smallCaps w:val="0"/>
        <w:strike w:val="0"/>
        <w:shd w:val="clear" w:color="auto" w:fill="auto"/>
        <w:vertAlign w:val="baseline"/>
      </w:rPr>
    </w:lvl>
  </w:abstractNum>
  <w:num w:numId="1">
    <w:abstractNumId w:val="8"/>
  </w:num>
  <w:num w:numId="2">
    <w:abstractNumId w:val="2"/>
  </w:num>
  <w:num w:numId="3">
    <w:abstractNumId w:val="1"/>
  </w:num>
  <w:num w:numId="4">
    <w:abstractNumId w:val="7"/>
  </w:num>
  <w:num w:numId="5">
    <w:abstractNumId w:val="3"/>
  </w:num>
  <w:num w:numId="6">
    <w:abstractNumId w:val="0"/>
  </w:num>
  <w:num w:numId="7">
    <w:abstractNumId w:val="5"/>
  </w:num>
  <w:num w:numId="8">
    <w:abstractNumId w:val="9"/>
  </w:num>
  <w:num w:numId="9">
    <w:abstractNumId w:val="4"/>
  </w:num>
  <w:num w:numId="10">
    <w:abstractNumId w:val="6"/>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0E09"/>
    <w:rsid w:val="007E52E8"/>
    <w:rsid w:val="0086199A"/>
    <w:rsid w:val="00F50E0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34CC834-061A-42C1-A451-1DE0787BA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IN"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lang w:eastAsia="en-US" w:bidi="ar-SA"/>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pBdr>
        <w:top w:val="nil"/>
        <w:left w:val="nil"/>
        <w:bottom w:val="nil"/>
        <w:right w:val="nil"/>
        <w:between w:val="nil"/>
      </w:pBdr>
      <w:tabs>
        <w:tab w:val="left" w:pos="288"/>
      </w:tabs>
      <w:spacing w:before="120" w:after="60"/>
      <w:outlineLvl w:val="1"/>
    </w:pPr>
    <w:rPr>
      <w:i/>
      <w:color w:val="000000"/>
      <w:sz w:val="20"/>
      <w:szCs w:val="20"/>
    </w:rPr>
  </w:style>
  <w:style w:type="paragraph" w:styleId="Heading3">
    <w:name w:val="heading 3"/>
    <w:basedOn w:val="Normal"/>
    <w:next w:val="Normal"/>
    <w:pPr>
      <w:pBdr>
        <w:top w:val="nil"/>
        <w:left w:val="nil"/>
        <w:bottom w:val="nil"/>
        <w:right w:val="nil"/>
        <w:between w:val="nil"/>
      </w:pBdr>
      <w:tabs>
        <w:tab w:val="left" w:pos="540"/>
      </w:tabs>
      <w:ind w:firstLine="288"/>
      <w:jc w:val="both"/>
      <w:outlineLvl w:val="2"/>
    </w:pPr>
    <w:rPr>
      <w:i/>
      <w:color w:val="000000"/>
      <w:sz w:val="20"/>
      <w:szCs w:val="20"/>
    </w:rPr>
  </w:style>
  <w:style w:type="paragraph" w:styleId="Heading4">
    <w:name w:val="heading 4"/>
    <w:basedOn w:val="Normal"/>
    <w:next w:val="Normal"/>
    <w:pPr>
      <w:pBdr>
        <w:top w:val="nil"/>
        <w:left w:val="nil"/>
        <w:bottom w:val="nil"/>
        <w:right w:val="nil"/>
        <w:between w:val="nil"/>
      </w:pBdr>
      <w:tabs>
        <w:tab w:val="left" w:pos="720"/>
      </w:tabs>
      <w:spacing w:before="40" w:after="40"/>
      <w:ind w:firstLine="504"/>
      <w:jc w:val="both"/>
      <w:outlineLvl w:val="3"/>
    </w:pPr>
    <w:rPr>
      <w:i/>
      <w:color w:val="000000"/>
      <w:sz w:val="20"/>
      <w:szCs w:val="20"/>
    </w:rPr>
  </w:style>
  <w:style w:type="paragraph" w:styleId="Heading5">
    <w:name w:val="heading 5"/>
    <w:basedOn w:val="Normal"/>
    <w:next w:val="Normal"/>
    <w:pPr>
      <w:pBdr>
        <w:top w:val="nil"/>
        <w:left w:val="nil"/>
        <w:bottom w:val="nil"/>
        <w:right w:val="nil"/>
        <w:between w:val="nil"/>
      </w:pBdr>
      <w:tabs>
        <w:tab w:val="left" w:pos="360"/>
      </w:tabs>
      <w:spacing w:before="160" w:after="80"/>
      <w:jc w:val="center"/>
      <w:outlineLvl w:val="4"/>
    </w:pPr>
    <w:rPr>
      <w:smallCaps/>
      <w:color w:val="000000"/>
      <w:sz w:val="20"/>
      <w:szCs w:val="20"/>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14:textOutline w14:w="0" w14:cap="flat" w14:cmpd="sng" w14:algn="ctr">
        <w14:noFill/>
        <w14:prstDash w14:val="solid"/>
        <w14:bevel/>
      </w14:textOutline>
    </w:rPr>
  </w:style>
  <w:style w:type="paragraph" w:styleId="Footer">
    <w:name w:val="footer"/>
    <w:pPr>
      <w:tabs>
        <w:tab w:val="center" w:pos="4680"/>
        <w:tab w:val="right" w:pos="9360"/>
      </w:tabs>
      <w:jc w:val="center"/>
    </w:pPr>
    <w:rPr>
      <w:rFonts w:eastAsia="Arial Unicode MS" w:cs="Arial Unicode MS"/>
      <w:color w:val="000000"/>
      <w:sz w:val="20"/>
      <w:szCs w:val="20"/>
      <w:u w:color="000000"/>
    </w:rPr>
  </w:style>
  <w:style w:type="paragraph" w:customStyle="1" w:styleId="papertitle">
    <w:name w:val="paper title"/>
    <w:pPr>
      <w:spacing w:after="120"/>
      <w:jc w:val="center"/>
    </w:pPr>
    <w:rPr>
      <w:rFonts w:eastAsia="Arial Unicode MS" w:cs="Arial Unicode MS"/>
      <w:color w:val="000000"/>
      <w:sz w:val="48"/>
      <w:szCs w:val="48"/>
      <w:u w:color="000000"/>
    </w:rPr>
  </w:style>
  <w:style w:type="paragraph" w:customStyle="1" w:styleId="Author">
    <w:name w:val="Author"/>
    <w:pPr>
      <w:spacing w:before="360" w:after="40"/>
      <w:jc w:val="center"/>
    </w:pPr>
    <w:rPr>
      <w:rFonts w:eastAsia="Arial Unicode MS" w:cs="Arial Unicode MS"/>
      <w:color w:val="000000"/>
      <w:sz w:val="22"/>
      <w:szCs w:val="22"/>
      <w:u w:color="000000"/>
    </w:rPr>
  </w:style>
  <w:style w:type="paragraph" w:customStyle="1" w:styleId="Body">
    <w:name w:val="Body"/>
    <w:pPr>
      <w:jc w:val="center"/>
    </w:pPr>
    <w:rPr>
      <w:color w:val="000000"/>
      <w:sz w:val="20"/>
      <w:szCs w:val="20"/>
      <w:u w:color="000000"/>
      <w14:textOutline w14:w="0" w14:cap="flat" w14:cmpd="sng" w14:algn="ctr">
        <w14:noFill/>
        <w14:prstDash w14:val="solid"/>
        <w14:bevel/>
      </w14:textOutline>
    </w:rPr>
  </w:style>
  <w:style w:type="paragraph" w:customStyle="1" w:styleId="Abstract">
    <w:name w:val="Abstract"/>
    <w:pPr>
      <w:spacing w:after="200"/>
      <w:ind w:firstLine="272"/>
      <w:jc w:val="both"/>
    </w:pPr>
    <w:rPr>
      <w:rFonts w:eastAsia="Arial Unicode MS" w:cs="Arial Unicode MS"/>
      <w:b/>
      <w:bCs/>
      <w:color w:val="000000"/>
      <w:sz w:val="18"/>
      <w:szCs w:val="18"/>
      <w:u w:color="000000"/>
    </w:rPr>
  </w:style>
  <w:style w:type="paragraph" w:customStyle="1" w:styleId="Keywords">
    <w:name w:val="Keywords"/>
    <w:pPr>
      <w:spacing w:after="120"/>
      <w:ind w:firstLine="274"/>
      <w:jc w:val="both"/>
    </w:pPr>
    <w:rPr>
      <w:rFonts w:eastAsia="Arial Unicode MS" w:cs="Arial Unicode MS"/>
      <w:b/>
      <w:bCs/>
      <w:i/>
      <w:iCs/>
      <w:color w:val="000000"/>
      <w:sz w:val="18"/>
      <w:szCs w:val="18"/>
      <w:u w:color="000000"/>
    </w:rPr>
  </w:style>
  <w:style w:type="paragraph" w:customStyle="1" w:styleId="Heading">
    <w:name w:val="Heading"/>
    <w:next w:val="Body"/>
    <w:pPr>
      <w:keepNext/>
      <w:keepLines/>
      <w:tabs>
        <w:tab w:val="left" w:pos="216"/>
        <w:tab w:val="left" w:pos="576"/>
      </w:tabs>
      <w:spacing w:before="160" w:after="80"/>
      <w:jc w:val="center"/>
      <w:outlineLvl w:val="0"/>
    </w:pPr>
    <w:rPr>
      <w:rFonts w:eastAsia="Arial Unicode MS" w:cs="Arial Unicode MS"/>
      <w:smallCaps/>
      <w:color w:val="000000"/>
      <w:sz w:val="20"/>
      <w:szCs w:val="20"/>
      <w:u w:color="000000"/>
      <w:lang w:val="fr-FR"/>
      <w14:textOutline w14:w="0" w14:cap="flat" w14:cmpd="sng" w14:algn="ctr">
        <w14:noFill/>
        <w14:prstDash w14:val="solid"/>
        <w14:bevel/>
      </w14:textOutline>
    </w:rPr>
  </w:style>
  <w:style w:type="numbering" w:customStyle="1" w:styleId="ImportedStyle1">
    <w:name w:val="Imported Style 1"/>
  </w:style>
  <w:style w:type="paragraph" w:styleId="BodyText">
    <w:name w:val="Body Text"/>
    <w:pPr>
      <w:tabs>
        <w:tab w:val="left" w:pos="288"/>
      </w:tabs>
      <w:spacing w:after="120" w:line="228" w:lineRule="auto"/>
      <w:ind w:firstLine="288"/>
      <w:jc w:val="both"/>
    </w:pPr>
    <w:rPr>
      <w:rFonts w:eastAsia="Arial Unicode MS" w:cs="Arial Unicode MS"/>
      <w:color w:val="000000"/>
      <w:sz w:val="20"/>
      <w:szCs w:val="20"/>
      <w:u w:color="000000"/>
    </w:rPr>
  </w:style>
  <w:style w:type="paragraph" w:customStyle="1" w:styleId="bulletlist">
    <w:name w:val="bullet list"/>
    <w:pPr>
      <w:tabs>
        <w:tab w:val="left" w:pos="288"/>
      </w:tabs>
      <w:spacing w:after="120" w:line="228" w:lineRule="auto"/>
      <w:jc w:val="both"/>
    </w:pPr>
    <w:rPr>
      <w:rFonts w:eastAsia="Arial Unicode MS" w:cs="Arial Unicode MS"/>
      <w:color w:val="000000"/>
      <w:sz w:val="20"/>
      <w:szCs w:val="20"/>
      <w:u w:color="000000"/>
    </w:rPr>
  </w:style>
  <w:style w:type="numbering" w:customStyle="1" w:styleId="ImportedStyle2">
    <w:name w:val="Imported Style 2"/>
  </w:style>
  <w:style w:type="paragraph" w:customStyle="1" w:styleId="sponsors">
    <w:name w:val="sponsors"/>
    <w:pPr>
      <w:pBdr>
        <w:top w:val="single" w:sz="4" w:space="0" w:color="000000"/>
        <w:left w:val="nil"/>
        <w:bottom w:val="nil"/>
        <w:right w:val="nil"/>
      </w:pBdr>
      <w:ind w:firstLine="288"/>
      <w:jc w:val="center"/>
    </w:pPr>
    <w:rPr>
      <w:rFonts w:eastAsia="Arial Unicode MS" w:cs="Arial Unicode MS"/>
      <w:color w:val="000000"/>
      <w:sz w:val="16"/>
      <w:szCs w:val="16"/>
      <w:u w:color="000000"/>
    </w:rPr>
  </w:style>
  <w:style w:type="paragraph" w:customStyle="1" w:styleId="equation">
    <w:name w:val="equation"/>
    <w:pPr>
      <w:tabs>
        <w:tab w:val="center" w:pos="2520"/>
        <w:tab w:val="right" w:pos="5040"/>
      </w:tabs>
      <w:spacing w:before="240" w:after="240" w:line="216" w:lineRule="auto"/>
      <w:jc w:val="center"/>
    </w:pPr>
    <w:rPr>
      <w:rFonts w:ascii="Symbol" w:eastAsia="Symbol" w:hAnsi="Symbol" w:cs="Symbol"/>
      <w:color w:val="000000"/>
      <w:sz w:val="20"/>
      <w:szCs w:val="20"/>
      <w:u w:color="000000"/>
    </w:rPr>
  </w:style>
  <w:style w:type="paragraph" w:customStyle="1" w:styleId="tablehead">
    <w:name w:val="table head"/>
    <w:pPr>
      <w:tabs>
        <w:tab w:val="left" w:pos="1080"/>
      </w:tabs>
      <w:spacing w:before="240" w:after="120" w:line="216" w:lineRule="auto"/>
      <w:jc w:val="center"/>
    </w:pPr>
    <w:rPr>
      <w:rFonts w:eastAsia="Arial Unicode MS" w:cs="Arial Unicode MS"/>
      <w:smallCaps/>
      <w:color w:val="000000"/>
      <w:sz w:val="16"/>
      <w:szCs w:val="16"/>
      <w:u w:color="000000"/>
    </w:rPr>
  </w:style>
  <w:style w:type="numbering" w:customStyle="1" w:styleId="ImportedStyle3">
    <w:name w:val="Imported Style 3"/>
  </w:style>
  <w:style w:type="paragraph" w:customStyle="1" w:styleId="tablecolhead">
    <w:name w:val="table col head"/>
    <w:pPr>
      <w:jc w:val="center"/>
    </w:pPr>
    <w:rPr>
      <w:rFonts w:eastAsia="Arial Unicode MS" w:cs="Arial Unicode MS"/>
      <w:b/>
      <w:bCs/>
      <w:color w:val="000000"/>
      <w:sz w:val="16"/>
      <w:szCs w:val="16"/>
      <w:u w:color="000000"/>
    </w:rPr>
  </w:style>
  <w:style w:type="paragraph" w:customStyle="1" w:styleId="tablecolsubhead">
    <w:name w:val="table col subhead"/>
    <w:pPr>
      <w:jc w:val="center"/>
    </w:pPr>
    <w:rPr>
      <w:rFonts w:eastAsia="Arial Unicode MS" w:cs="Arial Unicode MS"/>
      <w:b/>
      <w:bCs/>
      <w:i/>
      <w:iCs/>
      <w:color w:val="000000"/>
      <w:sz w:val="15"/>
      <w:szCs w:val="15"/>
      <w:u w:color="000000"/>
    </w:rPr>
  </w:style>
  <w:style w:type="paragraph" w:customStyle="1" w:styleId="tablecopy">
    <w:name w:val="table copy"/>
    <w:pPr>
      <w:jc w:val="both"/>
    </w:pPr>
    <w:rPr>
      <w:rFonts w:eastAsia="Arial Unicode MS" w:cs="Arial Unicode MS"/>
      <w:color w:val="000000"/>
      <w:sz w:val="16"/>
      <w:szCs w:val="16"/>
      <w:u w:color="000000"/>
    </w:rPr>
  </w:style>
  <w:style w:type="paragraph" w:customStyle="1" w:styleId="tablefootnote">
    <w:name w:val="table footnote"/>
    <w:pPr>
      <w:spacing w:before="60" w:after="30"/>
      <w:ind w:firstLine="29"/>
      <w:jc w:val="right"/>
    </w:pPr>
    <w:rPr>
      <w:rFonts w:eastAsia="Arial Unicode MS" w:cs="Arial Unicode MS"/>
      <w:color w:val="000000"/>
      <w:sz w:val="12"/>
      <w:szCs w:val="12"/>
      <w:u w:color="000000"/>
    </w:rPr>
  </w:style>
  <w:style w:type="numbering" w:customStyle="1" w:styleId="ImportedStyle4">
    <w:name w:val="Imported Style 4"/>
  </w:style>
  <w:style w:type="paragraph" w:customStyle="1" w:styleId="figurecaption">
    <w:name w:val="figure caption"/>
    <w:pPr>
      <w:tabs>
        <w:tab w:val="left" w:pos="533"/>
      </w:tabs>
      <w:spacing w:before="80" w:after="200"/>
      <w:jc w:val="both"/>
    </w:pPr>
    <w:rPr>
      <w:rFonts w:eastAsia="Arial Unicode MS" w:cs="Arial Unicode MS"/>
      <w:color w:val="000000"/>
      <w:sz w:val="16"/>
      <w:szCs w:val="16"/>
      <w:u w:color="000000"/>
    </w:rPr>
  </w:style>
  <w:style w:type="numbering" w:customStyle="1" w:styleId="ImportedStyle5">
    <w:name w:val="Imported Style 5"/>
  </w:style>
  <w:style w:type="paragraph" w:customStyle="1" w:styleId="references">
    <w:name w:val="references"/>
    <w:pPr>
      <w:tabs>
        <w:tab w:val="left" w:pos="360"/>
      </w:tabs>
      <w:spacing w:after="50" w:line="180" w:lineRule="exact"/>
      <w:jc w:val="both"/>
    </w:pPr>
    <w:rPr>
      <w:rFonts w:eastAsia="Arial Unicode MS" w:cs="Arial Unicode MS"/>
      <w:color w:val="000000"/>
      <w:sz w:val="16"/>
      <w:szCs w:val="16"/>
      <w:u w:color="000000"/>
    </w:rPr>
  </w:style>
  <w:style w:type="numbering" w:customStyle="1" w:styleId="ImportedStyle6">
    <w:name w:val="Imported Style 6"/>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buAMO9YEjMujVqoC0ozMdsYOhA==">CgMxLjA4AHIhMVBWOXBCN2xYcklFRXQ3ZW9mbzY4V1A2NmI0VHFrMFli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1976</Words>
  <Characters>11265</Characters>
  <Application>Microsoft Office Word</Application>
  <DocSecurity>0</DocSecurity>
  <Lines>93</Lines>
  <Paragraphs>26</Paragraphs>
  <ScaleCrop>false</ScaleCrop>
  <Company/>
  <LinksUpToDate>false</LinksUpToDate>
  <CharactersWithSpaces>13215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2</cp:revision>
  <dcterms:created xsi:type="dcterms:W3CDTF">2024-05-09T12:21:00Z</dcterms:created>
  <dcterms:modified xsi:type="dcterms:W3CDTF">2024-05-09T12:21:00Z</dcterms:modified>
</cp:coreProperties>
</file>