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12089C99" w:rsidR="00DA5BC8" w:rsidRPr="00DA5BC8" w:rsidRDefault="0092461C">
      <w:r>
        <w:rPr>
          <w:b/>
        </w:rPr>
        <w:t>Version</w:t>
      </w:r>
      <w:r w:rsidR="00FE2F14">
        <w:rPr>
          <w:b/>
        </w:rPr>
        <w:t>:</w:t>
      </w:r>
      <w:r>
        <w:rPr>
          <w:b/>
        </w:rPr>
        <w:t xml:space="preserve"> </w:t>
      </w:r>
      <w:r w:rsidR="0061199C">
        <w:t>0.</w:t>
      </w:r>
      <w:r w:rsidR="004126C8">
        <w:t>3</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061E2483" w:rsidR="009D45C8" w:rsidRDefault="00A26520">
      <w:r w:rsidRPr="00554190">
        <w:rPr>
          <w:b/>
        </w:rPr>
        <w:t>Date</w:t>
      </w:r>
      <w:r w:rsidR="0074593E" w:rsidRPr="00554190">
        <w:rPr>
          <w:b/>
        </w:rPr>
        <w:t>:</w:t>
      </w:r>
      <w:r w:rsidR="00EE506E">
        <w:t xml:space="preserve"> </w:t>
      </w:r>
      <w:r w:rsidR="00585660">
        <w:rPr>
          <w:lang w:eastAsia="ko-KR"/>
        </w:rPr>
        <w:t>March</w:t>
      </w:r>
      <w:r w:rsidR="00F7418F">
        <w:rPr>
          <w:lang w:eastAsia="ko-KR"/>
        </w:rPr>
        <w:t xml:space="preserve"> </w:t>
      </w:r>
      <w:r w:rsidR="00585660">
        <w:rPr>
          <w:lang w:eastAsia="ko-KR"/>
        </w:rPr>
        <w:t>3</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6163939C" w14:textId="7479053D" w:rsidR="0006023B"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Hyperlink"/>
                <w:noProof/>
              </w:rPr>
              <w:t>2</w:t>
            </w:r>
            <w:r w:rsidR="0006023B">
              <w:rPr>
                <w:rFonts w:eastAsiaTheme="minorEastAsia"/>
                <w:noProof/>
                <w:kern w:val="2"/>
                <w:sz w:val="20"/>
                <w:lang w:eastAsia="ko-KR"/>
              </w:rPr>
              <w:tab/>
            </w:r>
            <w:r w:rsidR="0006023B" w:rsidRPr="00465382">
              <w:rPr>
                <w:rStyle w:val="Hyperlink"/>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7B3871">
          <w:pPr>
            <w:pStyle w:val="TOC1"/>
            <w:tabs>
              <w:tab w:val="left" w:pos="440"/>
              <w:tab w:val="right" w:leader="dot" w:pos="9350"/>
            </w:tabs>
            <w:rPr>
              <w:rFonts w:eastAsiaTheme="minorEastAsia"/>
              <w:noProof/>
              <w:kern w:val="2"/>
              <w:sz w:val="20"/>
              <w:lang w:eastAsia="ko-KR"/>
            </w:rPr>
          </w:pPr>
          <w:hyperlink w:anchor="_Toc470944204" w:history="1">
            <w:r w:rsidR="0006023B" w:rsidRPr="00465382">
              <w:rPr>
                <w:rStyle w:val="Hyperlink"/>
                <w:noProof/>
              </w:rPr>
              <w:t>3</w:t>
            </w:r>
            <w:r w:rsidR="0006023B">
              <w:rPr>
                <w:rFonts w:eastAsiaTheme="minorEastAsia"/>
                <w:noProof/>
                <w:kern w:val="2"/>
                <w:sz w:val="20"/>
                <w:lang w:eastAsia="ko-KR"/>
              </w:rPr>
              <w:tab/>
            </w:r>
            <w:r w:rsidR="0006023B" w:rsidRPr="00465382">
              <w:rPr>
                <w:rStyle w:val="Hyperlink"/>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7B3871">
          <w:pPr>
            <w:pStyle w:val="TOC1"/>
            <w:tabs>
              <w:tab w:val="left" w:pos="440"/>
              <w:tab w:val="right" w:leader="dot" w:pos="9350"/>
            </w:tabs>
            <w:rPr>
              <w:rFonts w:eastAsiaTheme="minorEastAsia"/>
              <w:noProof/>
              <w:kern w:val="2"/>
              <w:sz w:val="20"/>
              <w:lang w:eastAsia="ko-KR"/>
            </w:rPr>
          </w:pPr>
          <w:hyperlink w:anchor="_Toc470944205" w:history="1">
            <w:r w:rsidR="0006023B" w:rsidRPr="00465382">
              <w:rPr>
                <w:rStyle w:val="Hyperlink"/>
                <w:noProof/>
              </w:rPr>
              <w:t>4</w:t>
            </w:r>
            <w:r w:rsidR="0006023B">
              <w:rPr>
                <w:rFonts w:eastAsiaTheme="minorEastAsia"/>
                <w:noProof/>
                <w:kern w:val="2"/>
                <w:sz w:val="20"/>
                <w:lang w:eastAsia="ko-KR"/>
              </w:rPr>
              <w:tab/>
            </w:r>
            <w:r w:rsidR="0006023B" w:rsidRPr="00465382">
              <w:rPr>
                <w:rStyle w:val="Hyperlink"/>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7B3871">
          <w:pPr>
            <w:pStyle w:val="TOC1"/>
            <w:tabs>
              <w:tab w:val="left" w:pos="440"/>
              <w:tab w:val="right" w:leader="dot" w:pos="9350"/>
            </w:tabs>
            <w:rPr>
              <w:rFonts w:eastAsiaTheme="minorEastAsia"/>
              <w:noProof/>
              <w:kern w:val="2"/>
              <w:sz w:val="20"/>
              <w:lang w:eastAsia="ko-KR"/>
            </w:rPr>
          </w:pPr>
          <w:hyperlink w:anchor="_Toc470944206" w:history="1">
            <w:r w:rsidR="0006023B" w:rsidRPr="00465382">
              <w:rPr>
                <w:rStyle w:val="Hyperlink"/>
                <w:noProof/>
              </w:rPr>
              <w:t>5</w:t>
            </w:r>
            <w:r w:rsidR="0006023B">
              <w:rPr>
                <w:rFonts w:eastAsiaTheme="minorEastAsia"/>
                <w:noProof/>
                <w:kern w:val="2"/>
                <w:sz w:val="20"/>
                <w:lang w:eastAsia="ko-KR"/>
              </w:rPr>
              <w:tab/>
            </w:r>
            <w:r w:rsidR="0006023B" w:rsidRPr="00465382">
              <w:rPr>
                <w:rStyle w:val="Hyperlink"/>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7B3871">
          <w:pPr>
            <w:pStyle w:val="TOC2"/>
            <w:tabs>
              <w:tab w:val="left" w:pos="800"/>
              <w:tab w:val="right" w:leader="dot" w:pos="9350"/>
            </w:tabs>
            <w:rPr>
              <w:rFonts w:eastAsiaTheme="minorEastAsia"/>
              <w:noProof/>
              <w:kern w:val="2"/>
              <w:sz w:val="20"/>
              <w:lang w:eastAsia="ko-KR"/>
            </w:rPr>
          </w:pPr>
          <w:hyperlink w:anchor="_Toc470944207" w:history="1">
            <w:r w:rsidR="0006023B" w:rsidRPr="00465382">
              <w:rPr>
                <w:rStyle w:val="Hyperlink"/>
                <w:noProof/>
              </w:rPr>
              <w:t>5.1</w:t>
            </w:r>
            <w:r w:rsidR="0006023B">
              <w:rPr>
                <w:rFonts w:eastAsiaTheme="minorEastAsia"/>
                <w:noProof/>
                <w:kern w:val="2"/>
                <w:sz w:val="20"/>
                <w:lang w:eastAsia="ko-KR"/>
              </w:rPr>
              <w:tab/>
            </w:r>
            <w:r w:rsidR="0006023B" w:rsidRPr="00465382">
              <w:rPr>
                <w:rStyle w:val="Hyperlink"/>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7B3871">
          <w:pPr>
            <w:pStyle w:val="TOC2"/>
            <w:tabs>
              <w:tab w:val="left" w:pos="800"/>
              <w:tab w:val="right" w:leader="dot" w:pos="9350"/>
            </w:tabs>
            <w:rPr>
              <w:rFonts w:eastAsiaTheme="minorEastAsia"/>
              <w:noProof/>
              <w:kern w:val="2"/>
              <w:sz w:val="20"/>
              <w:lang w:eastAsia="ko-KR"/>
            </w:rPr>
          </w:pPr>
          <w:hyperlink w:anchor="_Toc470944208" w:history="1">
            <w:r w:rsidR="0006023B" w:rsidRPr="00465382">
              <w:rPr>
                <w:rStyle w:val="Hyperlink"/>
                <w:noProof/>
              </w:rPr>
              <w:t>5.2</w:t>
            </w:r>
            <w:r w:rsidR="0006023B">
              <w:rPr>
                <w:rFonts w:eastAsiaTheme="minorEastAsia"/>
                <w:noProof/>
                <w:kern w:val="2"/>
                <w:sz w:val="20"/>
                <w:lang w:eastAsia="ko-KR"/>
              </w:rPr>
              <w:tab/>
            </w:r>
            <w:r w:rsidR="0006023B" w:rsidRPr="00465382">
              <w:rPr>
                <w:rStyle w:val="Hyperlink"/>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7B3871">
          <w:pPr>
            <w:pStyle w:val="TOC1"/>
            <w:tabs>
              <w:tab w:val="left" w:pos="440"/>
              <w:tab w:val="right" w:leader="dot" w:pos="9350"/>
            </w:tabs>
            <w:rPr>
              <w:rFonts w:eastAsiaTheme="minorEastAsia"/>
              <w:noProof/>
              <w:kern w:val="2"/>
              <w:sz w:val="20"/>
              <w:lang w:eastAsia="ko-KR"/>
            </w:rPr>
          </w:pPr>
          <w:hyperlink w:anchor="_Toc470944209" w:history="1">
            <w:r w:rsidR="0006023B" w:rsidRPr="00465382">
              <w:rPr>
                <w:rStyle w:val="Hyperlink"/>
                <w:noProof/>
              </w:rPr>
              <w:t>6</w:t>
            </w:r>
            <w:r w:rsidR="0006023B">
              <w:rPr>
                <w:rFonts w:eastAsiaTheme="minorEastAsia"/>
                <w:noProof/>
                <w:kern w:val="2"/>
                <w:sz w:val="20"/>
                <w:lang w:eastAsia="ko-KR"/>
              </w:rPr>
              <w:tab/>
            </w:r>
            <w:r w:rsidR="0006023B" w:rsidRPr="00465382">
              <w:rPr>
                <w:rStyle w:val="Hyperlink"/>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7B3871">
          <w:pPr>
            <w:pStyle w:val="TOC2"/>
            <w:tabs>
              <w:tab w:val="left" w:pos="800"/>
              <w:tab w:val="right" w:leader="dot" w:pos="9350"/>
            </w:tabs>
            <w:rPr>
              <w:rFonts w:eastAsiaTheme="minorEastAsia"/>
              <w:noProof/>
              <w:kern w:val="2"/>
              <w:sz w:val="20"/>
              <w:lang w:eastAsia="ko-KR"/>
            </w:rPr>
          </w:pPr>
          <w:hyperlink w:anchor="_Toc470944210" w:history="1">
            <w:r w:rsidR="0006023B" w:rsidRPr="00465382">
              <w:rPr>
                <w:rStyle w:val="Hyperlink"/>
                <w:noProof/>
              </w:rPr>
              <w:t>6.1</w:t>
            </w:r>
            <w:r w:rsidR="0006023B">
              <w:rPr>
                <w:rFonts w:eastAsiaTheme="minorEastAsia"/>
                <w:noProof/>
                <w:kern w:val="2"/>
                <w:sz w:val="20"/>
                <w:lang w:eastAsia="ko-KR"/>
              </w:rPr>
              <w:tab/>
            </w:r>
            <w:r w:rsidR="0006023B" w:rsidRPr="00465382">
              <w:rPr>
                <w:rStyle w:val="Hyperlink"/>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7B3871">
          <w:pPr>
            <w:pStyle w:val="TOC3"/>
            <w:tabs>
              <w:tab w:val="left" w:pos="1200"/>
              <w:tab w:val="right" w:leader="dot" w:pos="9350"/>
            </w:tabs>
            <w:rPr>
              <w:rFonts w:eastAsiaTheme="minorEastAsia"/>
              <w:noProof/>
              <w:kern w:val="2"/>
              <w:sz w:val="20"/>
              <w:lang w:eastAsia="ko-KR"/>
            </w:rPr>
          </w:pPr>
          <w:hyperlink w:anchor="_Toc470944211" w:history="1">
            <w:r w:rsidR="0006023B" w:rsidRPr="00465382">
              <w:rPr>
                <w:rStyle w:val="Hyperlink"/>
                <w:noProof/>
              </w:rPr>
              <w:t>6.1.1</w:t>
            </w:r>
            <w:r w:rsidR="0006023B">
              <w:rPr>
                <w:rFonts w:eastAsiaTheme="minorEastAsia"/>
                <w:noProof/>
                <w:kern w:val="2"/>
                <w:sz w:val="20"/>
                <w:lang w:eastAsia="ko-KR"/>
              </w:rPr>
              <w:tab/>
            </w:r>
            <w:r w:rsidR="0006023B" w:rsidRPr="00465382">
              <w:rPr>
                <w:rStyle w:val="Hyperlink"/>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7B3871">
          <w:pPr>
            <w:pStyle w:val="TOC3"/>
            <w:tabs>
              <w:tab w:val="left" w:pos="1200"/>
              <w:tab w:val="right" w:leader="dot" w:pos="9350"/>
            </w:tabs>
            <w:rPr>
              <w:rFonts w:eastAsiaTheme="minorEastAsia"/>
              <w:noProof/>
              <w:kern w:val="2"/>
              <w:sz w:val="20"/>
              <w:lang w:eastAsia="ko-KR"/>
            </w:rPr>
          </w:pPr>
          <w:hyperlink w:anchor="_Toc470944212" w:history="1">
            <w:r w:rsidR="0006023B" w:rsidRPr="00465382">
              <w:rPr>
                <w:rStyle w:val="Hyperlink"/>
                <w:noProof/>
              </w:rPr>
              <w:t>6.1.2</w:t>
            </w:r>
            <w:r w:rsidR="0006023B">
              <w:rPr>
                <w:rFonts w:eastAsiaTheme="minorEastAsia"/>
                <w:noProof/>
                <w:kern w:val="2"/>
                <w:sz w:val="20"/>
                <w:lang w:eastAsia="ko-KR"/>
              </w:rPr>
              <w:tab/>
            </w:r>
            <w:r w:rsidR="0006023B" w:rsidRPr="00465382">
              <w:rPr>
                <w:rStyle w:val="Hyperlink"/>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7B3871">
          <w:pPr>
            <w:pStyle w:val="TOC3"/>
            <w:tabs>
              <w:tab w:val="left" w:pos="1200"/>
              <w:tab w:val="right" w:leader="dot" w:pos="9350"/>
            </w:tabs>
            <w:rPr>
              <w:rFonts w:eastAsiaTheme="minorEastAsia"/>
              <w:noProof/>
              <w:kern w:val="2"/>
              <w:sz w:val="20"/>
              <w:lang w:eastAsia="ko-KR"/>
            </w:rPr>
          </w:pPr>
          <w:hyperlink w:anchor="_Toc470944213" w:history="1">
            <w:r w:rsidR="0006023B" w:rsidRPr="00465382">
              <w:rPr>
                <w:rStyle w:val="Hyperlink"/>
                <w:noProof/>
              </w:rPr>
              <w:t>6.1.3</w:t>
            </w:r>
            <w:r w:rsidR="0006023B">
              <w:rPr>
                <w:rFonts w:eastAsiaTheme="minorEastAsia"/>
                <w:noProof/>
                <w:kern w:val="2"/>
                <w:sz w:val="20"/>
                <w:lang w:eastAsia="ko-KR"/>
              </w:rPr>
              <w:tab/>
            </w:r>
            <w:r w:rsidR="0006023B" w:rsidRPr="00465382">
              <w:rPr>
                <w:rStyle w:val="Hyperlink"/>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7B3871">
          <w:pPr>
            <w:pStyle w:val="TOC3"/>
            <w:tabs>
              <w:tab w:val="left" w:pos="1200"/>
              <w:tab w:val="right" w:leader="dot" w:pos="9350"/>
            </w:tabs>
            <w:rPr>
              <w:rFonts w:eastAsiaTheme="minorEastAsia"/>
              <w:noProof/>
              <w:kern w:val="2"/>
              <w:sz w:val="20"/>
              <w:lang w:eastAsia="ko-KR"/>
            </w:rPr>
          </w:pPr>
          <w:hyperlink w:anchor="_Toc470944214" w:history="1">
            <w:r w:rsidR="0006023B" w:rsidRPr="00465382">
              <w:rPr>
                <w:rStyle w:val="Hyperlink"/>
                <w:noProof/>
              </w:rPr>
              <w:t>6.1.4</w:t>
            </w:r>
            <w:r w:rsidR="0006023B">
              <w:rPr>
                <w:rFonts w:eastAsiaTheme="minorEastAsia"/>
                <w:noProof/>
                <w:kern w:val="2"/>
                <w:sz w:val="20"/>
                <w:lang w:eastAsia="ko-KR"/>
              </w:rPr>
              <w:tab/>
            </w:r>
            <w:r w:rsidR="0006023B" w:rsidRPr="00465382">
              <w:rPr>
                <w:rStyle w:val="Hyperlink"/>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7B3871">
          <w:pPr>
            <w:pStyle w:val="TOC2"/>
            <w:tabs>
              <w:tab w:val="left" w:pos="800"/>
              <w:tab w:val="right" w:leader="dot" w:pos="9350"/>
            </w:tabs>
            <w:rPr>
              <w:rFonts w:eastAsiaTheme="minorEastAsia"/>
              <w:noProof/>
              <w:kern w:val="2"/>
              <w:sz w:val="20"/>
              <w:lang w:eastAsia="ko-KR"/>
            </w:rPr>
          </w:pPr>
          <w:hyperlink w:anchor="_Toc470944215" w:history="1">
            <w:r w:rsidR="0006023B" w:rsidRPr="00465382">
              <w:rPr>
                <w:rStyle w:val="Hyperlink"/>
                <w:noProof/>
              </w:rPr>
              <w:t>6.2</w:t>
            </w:r>
            <w:r w:rsidR="0006023B">
              <w:rPr>
                <w:rFonts w:eastAsiaTheme="minorEastAsia"/>
                <w:noProof/>
                <w:kern w:val="2"/>
                <w:sz w:val="20"/>
                <w:lang w:eastAsia="ko-KR"/>
              </w:rPr>
              <w:tab/>
            </w:r>
            <w:r w:rsidR="0006023B" w:rsidRPr="00465382">
              <w:rPr>
                <w:rStyle w:val="Hyperlink"/>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7B3871">
          <w:pPr>
            <w:pStyle w:val="TOC3"/>
            <w:tabs>
              <w:tab w:val="left" w:pos="1200"/>
              <w:tab w:val="right" w:leader="dot" w:pos="9350"/>
            </w:tabs>
            <w:rPr>
              <w:rFonts w:eastAsiaTheme="minorEastAsia"/>
              <w:noProof/>
              <w:kern w:val="2"/>
              <w:sz w:val="20"/>
              <w:lang w:eastAsia="ko-KR"/>
            </w:rPr>
          </w:pPr>
          <w:hyperlink w:anchor="_Toc470944216" w:history="1">
            <w:r w:rsidR="0006023B" w:rsidRPr="00465382">
              <w:rPr>
                <w:rStyle w:val="Hyperlink"/>
                <w:noProof/>
              </w:rPr>
              <w:t>6.2.1</w:t>
            </w:r>
            <w:r w:rsidR="0006023B">
              <w:rPr>
                <w:rFonts w:eastAsiaTheme="minorEastAsia"/>
                <w:noProof/>
                <w:kern w:val="2"/>
                <w:sz w:val="20"/>
                <w:lang w:eastAsia="ko-KR"/>
              </w:rPr>
              <w:tab/>
            </w:r>
            <w:r w:rsidR="0006023B" w:rsidRPr="00465382">
              <w:rPr>
                <w:rStyle w:val="Hyperlink"/>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7B3871">
          <w:pPr>
            <w:pStyle w:val="TOC3"/>
            <w:tabs>
              <w:tab w:val="left" w:pos="1200"/>
              <w:tab w:val="right" w:leader="dot" w:pos="9350"/>
            </w:tabs>
            <w:rPr>
              <w:rFonts w:eastAsiaTheme="minorEastAsia"/>
              <w:noProof/>
              <w:kern w:val="2"/>
              <w:sz w:val="20"/>
              <w:lang w:eastAsia="ko-KR"/>
            </w:rPr>
          </w:pPr>
          <w:hyperlink w:anchor="_Toc470944217" w:history="1">
            <w:r w:rsidR="0006023B" w:rsidRPr="00465382">
              <w:rPr>
                <w:rStyle w:val="Hyperlink"/>
                <w:noProof/>
              </w:rPr>
              <w:t>6.2.2</w:t>
            </w:r>
            <w:r w:rsidR="0006023B">
              <w:rPr>
                <w:rFonts w:eastAsiaTheme="minorEastAsia"/>
                <w:noProof/>
                <w:kern w:val="2"/>
                <w:sz w:val="20"/>
                <w:lang w:eastAsia="ko-KR"/>
              </w:rPr>
              <w:tab/>
            </w:r>
            <w:r w:rsidR="0006023B" w:rsidRPr="00465382">
              <w:rPr>
                <w:rStyle w:val="Hyperlink"/>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7B3871">
          <w:pPr>
            <w:pStyle w:val="TOC3"/>
            <w:tabs>
              <w:tab w:val="left" w:pos="1200"/>
              <w:tab w:val="right" w:leader="dot" w:pos="9350"/>
            </w:tabs>
            <w:rPr>
              <w:rFonts w:eastAsiaTheme="minorEastAsia"/>
              <w:noProof/>
              <w:kern w:val="2"/>
              <w:sz w:val="20"/>
              <w:lang w:eastAsia="ko-KR"/>
            </w:rPr>
          </w:pPr>
          <w:hyperlink w:anchor="_Toc470944218" w:history="1">
            <w:r w:rsidR="0006023B" w:rsidRPr="00465382">
              <w:rPr>
                <w:rStyle w:val="Hyperlink"/>
                <w:noProof/>
              </w:rPr>
              <w:t>6.2.3</w:t>
            </w:r>
            <w:r w:rsidR="0006023B">
              <w:rPr>
                <w:rFonts w:eastAsiaTheme="minorEastAsia"/>
                <w:noProof/>
                <w:kern w:val="2"/>
                <w:sz w:val="20"/>
                <w:lang w:eastAsia="ko-KR"/>
              </w:rPr>
              <w:tab/>
            </w:r>
            <w:r w:rsidR="0006023B" w:rsidRPr="00465382">
              <w:rPr>
                <w:rStyle w:val="Hyperlink"/>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7B3871">
          <w:pPr>
            <w:pStyle w:val="TOC3"/>
            <w:tabs>
              <w:tab w:val="left" w:pos="1200"/>
              <w:tab w:val="right" w:leader="dot" w:pos="9350"/>
            </w:tabs>
            <w:rPr>
              <w:rFonts w:eastAsiaTheme="minorEastAsia"/>
              <w:noProof/>
              <w:kern w:val="2"/>
              <w:sz w:val="20"/>
              <w:lang w:eastAsia="ko-KR"/>
            </w:rPr>
          </w:pPr>
          <w:hyperlink w:anchor="_Toc470944219" w:history="1">
            <w:r w:rsidR="0006023B" w:rsidRPr="00465382">
              <w:rPr>
                <w:rStyle w:val="Hyperlink"/>
                <w:noProof/>
              </w:rPr>
              <w:t>6.2.4</w:t>
            </w:r>
            <w:r w:rsidR="0006023B">
              <w:rPr>
                <w:rFonts w:eastAsiaTheme="minorEastAsia"/>
                <w:noProof/>
                <w:kern w:val="2"/>
                <w:sz w:val="20"/>
                <w:lang w:eastAsia="ko-KR"/>
              </w:rPr>
              <w:tab/>
            </w:r>
            <w:r w:rsidR="0006023B" w:rsidRPr="00465382">
              <w:rPr>
                <w:rStyle w:val="Hyperlink"/>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7B3871">
          <w:pPr>
            <w:pStyle w:val="TOC3"/>
            <w:tabs>
              <w:tab w:val="left" w:pos="1200"/>
              <w:tab w:val="right" w:leader="dot" w:pos="9350"/>
            </w:tabs>
            <w:rPr>
              <w:rFonts w:eastAsiaTheme="minorEastAsia"/>
              <w:noProof/>
              <w:kern w:val="2"/>
              <w:sz w:val="20"/>
              <w:lang w:eastAsia="ko-KR"/>
            </w:rPr>
          </w:pPr>
          <w:hyperlink w:anchor="_Toc470944220" w:history="1">
            <w:r w:rsidR="0006023B" w:rsidRPr="00465382">
              <w:rPr>
                <w:rStyle w:val="Hyperlink"/>
                <w:noProof/>
              </w:rPr>
              <w:t>6.2.5</w:t>
            </w:r>
            <w:r w:rsidR="0006023B">
              <w:rPr>
                <w:rFonts w:eastAsiaTheme="minorEastAsia"/>
                <w:noProof/>
                <w:kern w:val="2"/>
                <w:sz w:val="20"/>
                <w:lang w:eastAsia="ko-KR"/>
              </w:rPr>
              <w:tab/>
            </w:r>
            <w:r w:rsidR="0006023B" w:rsidRPr="00465382">
              <w:rPr>
                <w:rStyle w:val="Hyperlink"/>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7B3871">
          <w:pPr>
            <w:pStyle w:val="TOC2"/>
            <w:tabs>
              <w:tab w:val="left" w:pos="800"/>
              <w:tab w:val="right" w:leader="dot" w:pos="9350"/>
            </w:tabs>
            <w:rPr>
              <w:rFonts w:eastAsiaTheme="minorEastAsia"/>
              <w:noProof/>
              <w:kern w:val="2"/>
              <w:sz w:val="20"/>
              <w:lang w:eastAsia="ko-KR"/>
            </w:rPr>
          </w:pPr>
          <w:hyperlink w:anchor="_Toc470944221" w:history="1">
            <w:r w:rsidR="0006023B" w:rsidRPr="00465382">
              <w:rPr>
                <w:rStyle w:val="Hyperlink"/>
                <w:noProof/>
              </w:rPr>
              <w:t>6.3</w:t>
            </w:r>
            <w:r w:rsidR="0006023B">
              <w:rPr>
                <w:rFonts w:eastAsiaTheme="minorEastAsia"/>
                <w:noProof/>
                <w:kern w:val="2"/>
                <w:sz w:val="20"/>
                <w:lang w:eastAsia="ko-KR"/>
              </w:rPr>
              <w:tab/>
            </w:r>
            <w:r w:rsidR="0006023B" w:rsidRPr="00465382">
              <w:rPr>
                <w:rStyle w:val="Hyperlink"/>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7B3871">
          <w:pPr>
            <w:pStyle w:val="TOC2"/>
            <w:tabs>
              <w:tab w:val="left" w:pos="800"/>
              <w:tab w:val="right" w:leader="dot" w:pos="9350"/>
            </w:tabs>
            <w:rPr>
              <w:rFonts w:eastAsiaTheme="minorEastAsia"/>
              <w:noProof/>
              <w:kern w:val="2"/>
              <w:sz w:val="20"/>
              <w:lang w:eastAsia="ko-KR"/>
            </w:rPr>
          </w:pPr>
          <w:hyperlink w:anchor="_Toc470944222" w:history="1">
            <w:r w:rsidR="0006023B" w:rsidRPr="00465382">
              <w:rPr>
                <w:rStyle w:val="Hyperlink"/>
                <w:noProof/>
              </w:rPr>
              <w:t>6.4</w:t>
            </w:r>
            <w:r w:rsidR="0006023B">
              <w:rPr>
                <w:rFonts w:eastAsiaTheme="minorEastAsia"/>
                <w:noProof/>
                <w:kern w:val="2"/>
                <w:sz w:val="20"/>
                <w:lang w:eastAsia="ko-KR"/>
              </w:rPr>
              <w:tab/>
            </w:r>
            <w:r w:rsidR="0006023B" w:rsidRPr="00465382">
              <w:rPr>
                <w:rStyle w:val="Hyperlink"/>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7B3871">
          <w:pPr>
            <w:pStyle w:val="TOC2"/>
            <w:tabs>
              <w:tab w:val="left" w:pos="800"/>
              <w:tab w:val="right" w:leader="dot" w:pos="9350"/>
            </w:tabs>
            <w:rPr>
              <w:rFonts w:eastAsiaTheme="minorEastAsia"/>
              <w:noProof/>
              <w:kern w:val="2"/>
              <w:sz w:val="20"/>
              <w:lang w:eastAsia="ko-KR"/>
            </w:rPr>
          </w:pPr>
          <w:hyperlink w:anchor="_Toc470944223" w:history="1">
            <w:r w:rsidR="0006023B" w:rsidRPr="00465382">
              <w:rPr>
                <w:rStyle w:val="Hyperlink"/>
                <w:noProof/>
              </w:rPr>
              <w:t>6.5</w:t>
            </w:r>
            <w:r w:rsidR="0006023B">
              <w:rPr>
                <w:rFonts w:eastAsiaTheme="minorEastAsia"/>
                <w:noProof/>
                <w:kern w:val="2"/>
                <w:sz w:val="20"/>
                <w:lang w:eastAsia="ko-KR"/>
              </w:rPr>
              <w:tab/>
            </w:r>
            <w:r w:rsidR="0006023B" w:rsidRPr="00465382">
              <w:rPr>
                <w:rStyle w:val="Hyperlink"/>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7B3871">
          <w:pPr>
            <w:pStyle w:val="TOC2"/>
            <w:tabs>
              <w:tab w:val="left" w:pos="800"/>
              <w:tab w:val="right" w:leader="dot" w:pos="9350"/>
            </w:tabs>
            <w:rPr>
              <w:rFonts w:eastAsiaTheme="minorEastAsia"/>
              <w:noProof/>
              <w:kern w:val="2"/>
              <w:sz w:val="20"/>
              <w:lang w:eastAsia="ko-KR"/>
            </w:rPr>
          </w:pPr>
          <w:hyperlink w:anchor="_Toc470944224" w:history="1">
            <w:r w:rsidR="0006023B" w:rsidRPr="00465382">
              <w:rPr>
                <w:rStyle w:val="Hyperlink"/>
                <w:noProof/>
              </w:rPr>
              <w:t>6.6</w:t>
            </w:r>
            <w:r w:rsidR="0006023B">
              <w:rPr>
                <w:rFonts w:eastAsiaTheme="minorEastAsia"/>
                <w:noProof/>
                <w:kern w:val="2"/>
                <w:sz w:val="20"/>
                <w:lang w:eastAsia="ko-KR"/>
              </w:rPr>
              <w:tab/>
            </w:r>
            <w:r w:rsidR="0006023B" w:rsidRPr="00465382">
              <w:rPr>
                <w:rStyle w:val="Hyperlink"/>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7B3871">
          <w:pPr>
            <w:pStyle w:val="TOC1"/>
            <w:tabs>
              <w:tab w:val="left" w:pos="440"/>
              <w:tab w:val="right" w:leader="dot" w:pos="9350"/>
            </w:tabs>
            <w:rPr>
              <w:rFonts w:eastAsiaTheme="minorEastAsia"/>
              <w:noProof/>
              <w:kern w:val="2"/>
              <w:sz w:val="20"/>
              <w:lang w:eastAsia="ko-KR"/>
            </w:rPr>
          </w:pPr>
          <w:hyperlink w:anchor="_Toc470944225" w:history="1">
            <w:r w:rsidR="0006023B" w:rsidRPr="00465382">
              <w:rPr>
                <w:rStyle w:val="Hyperlink"/>
                <w:noProof/>
              </w:rPr>
              <w:t>7</w:t>
            </w:r>
            <w:r w:rsidR="0006023B">
              <w:rPr>
                <w:rFonts w:eastAsiaTheme="minorEastAsia"/>
                <w:noProof/>
                <w:kern w:val="2"/>
                <w:sz w:val="20"/>
                <w:lang w:eastAsia="ko-KR"/>
              </w:rPr>
              <w:tab/>
            </w:r>
            <w:r w:rsidR="0006023B" w:rsidRPr="00465382">
              <w:rPr>
                <w:rStyle w:val="Hyperlink"/>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7B3871">
          <w:pPr>
            <w:pStyle w:val="TOC1"/>
            <w:tabs>
              <w:tab w:val="left" w:pos="440"/>
              <w:tab w:val="right" w:leader="dot" w:pos="9350"/>
            </w:tabs>
            <w:rPr>
              <w:rFonts w:eastAsiaTheme="minorEastAsia"/>
              <w:noProof/>
              <w:kern w:val="2"/>
              <w:sz w:val="20"/>
              <w:lang w:eastAsia="ko-KR"/>
            </w:rPr>
          </w:pPr>
          <w:hyperlink w:anchor="_Toc470944226" w:history="1">
            <w:r w:rsidR="0006023B" w:rsidRPr="00465382">
              <w:rPr>
                <w:rStyle w:val="Hyperlink"/>
                <w:noProof/>
              </w:rPr>
              <w:t>8</w:t>
            </w:r>
            <w:r w:rsidR="0006023B">
              <w:rPr>
                <w:rFonts w:eastAsiaTheme="minorEastAsia"/>
                <w:noProof/>
                <w:kern w:val="2"/>
                <w:sz w:val="20"/>
                <w:lang w:eastAsia="ko-KR"/>
              </w:rPr>
              <w:tab/>
            </w:r>
            <w:r w:rsidR="0006023B" w:rsidRPr="00465382">
              <w:rPr>
                <w:rStyle w:val="Hyperlink"/>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7B3871">
          <w:pPr>
            <w:pStyle w:val="TOC1"/>
            <w:tabs>
              <w:tab w:val="left" w:pos="440"/>
              <w:tab w:val="right" w:leader="dot" w:pos="9350"/>
            </w:tabs>
            <w:rPr>
              <w:rFonts w:eastAsiaTheme="minorEastAsia"/>
              <w:noProof/>
              <w:kern w:val="2"/>
              <w:sz w:val="20"/>
              <w:lang w:eastAsia="ko-KR"/>
            </w:rPr>
          </w:pPr>
          <w:hyperlink w:anchor="_Toc470944227" w:history="1">
            <w:r w:rsidR="0006023B" w:rsidRPr="00465382">
              <w:rPr>
                <w:rStyle w:val="Hyperlink"/>
                <w:noProof/>
              </w:rPr>
              <w:t>9</w:t>
            </w:r>
            <w:r w:rsidR="0006023B">
              <w:rPr>
                <w:rFonts w:eastAsiaTheme="minorEastAsia"/>
                <w:noProof/>
                <w:kern w:val="2"/>
                <w:sz w:val="20"/>
                <w:lang w:eastAsia="ko-KR"/>
              </w:rPr>
              <w:tab/>
            </w:r>
            <w:r w:rsidR="0006023B" w:rsidRPr="00465382">
              <w:rPr>
                <w:rStyle w:val="Hyperlink"/>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Heading1"/>
      </w:pPr>
      <w:bookmarkStart w:id="0" w:name="_Toc470944203"/>
      <w:bookmarkStart w:id="1" w:name="_Toc405127685"/>
      <w:r>
        <w:t>List of abbreviations</w:t>
      </w:r>
      <w:bookmarkEnd w:id="0"/>
    </w:p>
    <w:p w14:paraId="48F41910" w14:textId="6218BB74" w:rsidR="00E511A6" w:rsidRDefault="00845040" w:rsidP="00E61242">
      <w:pPr>
        <w:pStyle w:val="NoSpacing"/>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NoSpacing"/>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NoSpacing"/>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NoSpacing"/>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NoSpacing"/>
      </w:pPr>
      <w:r>
        <w:lastRenderedPageBreak/>
        <w:t>RCT</w:t>
      </w:r>
      <w:r>
        <w:rPr>
          <w:lang w:eastAsia="ko-KR"/>
        </w:rPr>
        <w:tab/>
      </w:r>
      <w:r>
        <w:tab/>
        <w:t>Randomized Clinical Trial</w:t>
      </w:r>
    </w:p>
    <w:p w14:paraId="636D89EF" w14:textId="04F669BA" w:rsidR="00845040" w:rsidRDefault="00845040" w:rsidP="00845040">
      <w:pPr>
        <w:pStyle w:val="NoSpacing"/>
      </w:pPr>
      <w:r>
        <w:t>ACS</w:t>
      </w:r>
      <w:r>
        <w:rPr>
          <w:lang w:eastAsia="ko-KR"/>
        </w:rPr>
        <w:tab/>
      </w:r>
      <w:r>
        <w:tab/>
        <w:t xml:space="preserve">Acute Coronary Syndrome </w:t>
      </w:r>
    </w:p>
    <w:p w14:paraId="7EEC1156" w14:textId="197288B3" w:rsidR="00845040" w:rsidRDefault="00845040" w:rsidP="00845040">
      <w:pPr>
        <w:pStyle w:val="NoSpacing"/>
      </w:pPr>
      <w:r>
        <w:t>PLATO</w:t>
      </w:r>
      <w:r>
        <w:rPr>
          <w:lang w:eastAsia="ko-KR"/>
        </w:rPr>
        <w:tab/>
      </w:r>
      <w:r>
        <w:tab/>
      </w:r>
      <w:r>
        <w:rPr>
          <w:rFonts w:ascii="Calibri" w:hAnsi="Calibri" w:cs="Calibri"/>
          <w:color w:val="000000"/>
          <w:lang w:eastAsia="ko-KR"/>
        </w:rPr>
        <w:t>PLATelet inhibition and patient Outcomes</w:t>
      </w:r>
    </w:p>
    <w:p w14:paraId="0020B217" w14:textId="25B0BFBB" w:rsidR="007F34FD" w:rsidRDefault="00845040" w:rsidP="00E61242">
      <w:pPr>
        <w:pStyle w:val="NoSpacing"/>
      </w:pPr>
      <w:r>
        <w:t>OHDSI</w:t>
      </w:r>
      <w:r>
        <w:rPr>
          <w:lang w:eastAsia="ko-KR"/>
        </w:rPr>
        <w:tab/>
      </w:r>
      <w:r>
        <w:tab/>
        <w:t xml:space="preserve">Observational Health Data Sciences and Informatics </w:t>
      </w:r>
    </w:p>
    <w:p w14:paraId="08B83C55" w14:textId="2EDC6DDE" w:rsidR="00301C31" w:rsidRPr="00E61242" w:rsidRDefault="00301C31" w:rsidP="00E61242">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054CD3C7" w14:textId="2A5E3EBD" w:rsidR="00FF791A" w:rsidRDefault="000159BB" w:rsidP="000159BB">
      <w:pPr>
        <w:pStyle w:val="Heading1"/>
      </w:pPr>
      <w:bookmarkStart w:id="2" w:name="_Toc470944204"/>
      <w:r>
        <w:t>Abstract</w:t>
      </w:r>
      <w:bookmarkEnd w:id="2"/>
    </w:p>
    <w:p w14:paraId="7D2CEB33" w14:textId="6392C321"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124943">
        <w:rPr>
          <w:rFonts w:ascii="Calibri" w:hAnsi="Calibri" w:cs="Calibri"/>
          <w:color w:val="000000"/>
        </w:rPr>
        <w:instrText xml:space="preserve"> ADDIN ZOTERO_ITEM CSL_CITATION {"citationID":"c5RyLUPH","properties":{"formattedCitation":"\\super 1,2\\nosupersub{}","plainCitation":"1,2","noteIndex":0},"citationItems":[{"id":2667,"uris":["http://zotero.org/users/1354749/items/YFQF8ZVW"],"uri":["http://zotero.org/users/1354749/items/YFQF8ZVW"],"itemData":{"id":2667,"type":"article-journal","title":"2016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C."}],"issued":{"date-parts":[["2016"]],"season":"06"}}},{"id":2666,"uris":["http://zotero.org/users/1354749/items/3GVHA8P8"],"uri":["http://zotero.org/users/1354749/items/3GVHA8P8"],"itemData":{"id":2666,"type":"article-journal","title":"2017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The study of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124943">
        <w:rPr>
          <w:rFonts w:ascii="Calibri" w:hAnsi="Calibri" w:cs="Calibri"/>
          <w:color w:val="000000"/>
        </w:rPr>
        <w:instrText xml:space="preserve"> ADDIN ZOTERO_ITEM CSL_CITATION {"citationID":"4Cm1Nkr1","properties":{"formattedCitation":"\\super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49B39AA1"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124943">
        <w:rPr>
          <w:rFonts w:ascii="Calibri" w:hAnsi="Calibri" w:cs="Calibri"/>
          <w:color w:val="000000"/>
        </w:rPr>
        <w:instrText xml:space="preserve"> ADDIN ZOTERO_ITEM CSL_CITATION {"citationID":"GKt2gVLR","properties":{"formattedCitation":"\\super 4,5\\nosupersub{}","plainCitation":"4,5","noteIndex":0},"citationItems":[{"id":2658,"uris":["http://zotero.org/users/1354749/items/YIFLQDR6"],"uri":["http://zotero.org/users/1354749/items/YIFLQDR6"],"itemData":{"id":2658,"type":"article-journal","title":"Comparison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D."}],"issued":{"date-parts":[["2007",8,1]]}}},{"id":2657,"uris":["http://zotero.org/users/1354749/items/I543JQP8"],"uri":["http://zotero.org/users/1354749/items/I543JQP8"],"itemData":{"id":2657,"type":"article-journal","title":"Association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124943">
        <w:rPr>
          <w:rFonts w:ascii="Calibri" w:hAnsi="Calibri" w:cs="Calibri"/>
          <w:color w:val="000000"/>
        </w:rPr>
        <w:instrText xml:space="preserve"> ADDIN ZOTERO_ITEM CSL_CITATION {"citationID":"oOtOpp8h","properties":{"formattedCitation":"\\super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sidR="00124943">
        <w:rPr>
          <w:rFonts w:ascii="Calibri" w:hAnsi="Calibri" w:cs="Calibri"/>
          <w:color w:val="000000"/>
        </w:rPr>
        <w:instrText xml:space="preserve"> ADDIN ZOTERO_ITEM CSL_CITATION {"citationID":"hXfuVzB8","properties":{"formattedCitation":"\\super 6\\nosupersub{}","plainCitation":"6","noteIndex":0},"citationItems":[{"id":2720,"uris":["http://zotero.org/users/1354749/items/4D7BB4R2"],"uri":["http://zotero.org/users/1354749/items/4D7BB4R2"],"itemData":{"id":2720,"type":"article-journal","title":"Ticagrelor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r>
        <w:t>Amendments and Updates</w:t>
      </w:r>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bookmarkStart w:id="3" w:name="_GoBack"/>
            <w:bookmarkEnd w:id="3"/>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4" w:name="_Toc470944205"/>
      <w:r>
        <w:lastRenderedPageBreak/>
        <w:t>Rationale and B</w:t>
      </w:r>
      <w:r w:rsidR="00EE73B8">
        <w:t>ackground</w:t>
      </w:r>
      <w:bookmarkEnd w:id="1"/>
      <w:bookmarkEnd w:id="4"/>
    </w:p>
    <w:p w14:paraId="4961E895" w14:textId="346F70C3"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bookmarkStart w:id="5" w:name="_Toc470944206"/>
      <w:r>
        <w:rPr>
          <w:rFonts w:ascii="Calibri" w:hAnsi="Calibri" w:cs="Calibri"/>
          <w:color w:val="000000"/>
        </w:rPr>
        <w:t>The 2016 American College of Cardiology / American Heart Association (ACC/AHA) guideline and 2017 European Society of Cardiology (ESC) / European Association for Cardio-Thoracic Surgery (EACTS) guideline recommended to use ticagrelor on top of aspirin in preference to clopidogrel for patients with acute coronary syndrome (ACS) based on the results from randomized clinical trials (RCT).</w:t>
      </w:r>
      <w:r>
        <w:rPr>
          <w:rFonts w:ascii="Calibri" w:hAnsi="Calibri" w:cs="Calibri"/>
          <w:color w:val="000000"/>
        </w:rPr>
        <w:fldChar w:fldCharType="begin"/>
      </w:r>
      <w:r w:rsidR="00124943">
        <w:rPr>
          <w:rFonts w:ascii="Calibri" w:hAnsi="Calibri" w:cs="Calibri"/>
          <w:color w:val="000000"/>
        </w:rPr>
        <w:instrText xml:space="preserve"> ADDIN ZOTERO_ITEM CSL_CITATION {"citationID":"HQD6I2JP","properties":{"formattedCitation":"\\super 1,2\\nosupersub{}","plainCitation":"1,2","noteIndex":0},"citationItems":[{"id":2667,"uris":["http://zotero.org/users/1354749/items/YFQF8ZVW"],"uri":["http://zotero.org/users/1354749/items/YFQF8ZVW"],"itemData":{"id":2667,"type":"article-journal","title":"2016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C."}],"issued":{"date-parts":[["2016"]],"season":"06"}}},{"id":2666,"uris":["http://zotero.org/users/1354749/items/3GVHA8P8"],"uri":["http://zotero.org/users/1354749/items/3GVHA8P8"],"itemData":{"id":2666,"type":"article-journal","title":"2017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The study of PLATelet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sidR="00124943">
        <w:rPr>
          <w:rFonts w:ascii="Calibri" w:hAnsi="Calibri" w:cs="Calibri"/>
          <w:color w:val="000000"/>
        </w:rPr>
        <w:instrText xml:space="preserve"> ADDIN ZOTERO_ITEM CSL_CITATION {"citationID":"94zQ1UXk","properties":{"formattedCitation":"\\super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p>
    <w:p w14:paraId="47AEEC2A" w14:textId="3500675B"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Pr>
          <w:rFonts w:ascii="Calibri" w:hAnsi="Calibri" w:cs="Calibri"/>
          <w:i/>
          <w:color w:val="000000"/>
          <w:lang w:eastAsia="ko-KR"/>
        </w:rPr>
        <w:fldChar w:fldCharType="begin"/>
      </w:r>
      <w:r w:rsidR="00D33B3F">
        <w:rPr>
          <w:rFonts w:ascii="Calibri" w:hAnsi="Calibri" w:cs="Calibri"/>
          <w:i/>
          <w:color w:val="000000"/>
          <w:lang w:eastAsia="ko-KR"/>
        </w:rPr>
        <w:instrText xml:space="preserve"> ADDIN ZOTERO_ITEM CSL_CITATION {"citationID":"bMo4EcnL","properties":{"formattedCitation":"\\super 7\\nosupersub{}","plainCitation":"7","noteIndex":0},"citationItems":[{"id":7764,"uris":["http://zotero.org/users/1354749/items/8FIRWPD7"],"uri":["http://zotero.org/users/1354749/items/8FIRWPD7"],"itemData":{"id":7764,"type":"article-journal","title":"Outcomes in patients treated with ticagrelor or clopidogrel after acute myocardial infarction: experiences from SWEDEHEART registry","container-title":"European Heart Journal","page":"3335-3342","volume":"37","issue":"44","source":"academic.oup.com","abstract":"Aims.  Ticagrelor reduces ischaemic events and mortality in acute coronary syndrome (ACS) vs. clopidogrel. We wished to study clinical outcomes in a large real-","DOI":"10.1093/eurheartj/ehw284","ISSN":"0195-668X","shortTitle":"Outcomes in patients treated with ticagrelor or clopidogrel after acute myocardial infarction","journalAbbreviation":"Eur Heart J","language":"en","author":[{"family":"Sahlén","given":"Anders"},{"family":"Varenhorst","given":"Christoph"},{"family":"Lagerqvist","given":"Bo"},{"family":"Renlund","given":"Henrik"},{"family":"Omerovic","given":"Elmir"},{"family":"Erlinge","given":"David"},{"family":"Wallentin","given":"Lars"},{"family":"James","given":"Stefan K."},{"family":"Jernberg","given":"Tomas"}],"issued":{"date-parts":[["2016",11,21]]}}}],"schema":"https://github.com/citation-style-language/schema/raw/master/csl-citation.json"} </w:instrText>
      </w:r>
      <w:r w:rsidR="00D33B3F">
        <w:rPr>
          <w:rFonts w:ascii="Calibri" w:hAnsi="Calibri" w:cs="Calibri"/>
          <w:i/>
          <w:color w:val="000000"/>
          <w:lang w:eastAsia="ko-KR"/>
        </w:rPr>
        <w:fldChar w:fldCharType="separate"/>
      </w:r>
      <w:r w:rsidR="00D33B3F" w:rsidRPr="00644B56">
        <w:rPr>
          <w:rFonts w:ascii="Calibri" w:hAnsi="Calibri" w:cs="Calibri"/>
          <w:color w:val="000000"/>
          <w:vertAlign w:val="superscript"/>
        </w:rPr>
        <w:t>7</w:t>
      </w:r>
      <w:r w:rsidR="00D33B3F">
        <w:rPr>
          <w:rFonts w:ascii="Calibri" w:hAnsi="Calibri" w:cs="Calibri"/>
          <w:i/>
          <w:color w:val="000000"/>
          <w:lang w:eastAsia="ko-KR"/>
        </w:rPr>
        <w:fldChar w:fldCharType="end"/>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0C5F53">
        <w:rPr>
          <w:rFonts w:ascii="Calibri" w:hAnsi="Calibri" w:cs="Calibri"/>
          <w:i/>
          <w:color w:val="000000"/>
          <w:lang w:eastAsia="ko-KR"/>
        </w:rPr>
        <w:fldChar w:fldCharType="begin"/>
      </w:r>
      <w:r w:rsidR="00DF6BC7">
        <w:rPr>
          <w:rFonts w:ascii="Calibri" w:hAnsi="Calibri" w:cs="Calibri"/>
          <w:i/>
          <w:color w:val="000000"/>
          <w:lang w:eastAsia="ko-KR"/>
        </w:rPr>
        <w:instrText xml:space="preserve"> ADDIN ZOTERO_ITEM CSL_CITATION {"citationID":"Q15dHUcE","properties":{"formattedCitation":"\\super 8\\nosupersub{}","plainCitation":"8","noteIndex":0},"citationItems":[{"id":1808,"uris":["http://zotero.org/users/1354749/items/B5CGSSTX"],"uri":["http://zotero.org/users/1354749/items/B5CGSSTX"],"itemData":{"id":1808,"type":"article-journal","title":"International differences in treatment effect: do they really exist and why?","container-title":"European Heart Journal","page":"1846-1852","volume":"34","issue":"24","source":"eurheartj.oxfordjournals.org","abstract":"With the increasing globalization of clinical trials, the opportunity exists to explore potential geographic differences in treatment effect within any major trial. Such geographic differences may arise because of international differences in patient selection, medical practice, or evaluation of outcomes, and such international variations need better documentation in trial reports. Appropriate pre-defined statistical analyses, including statistical tests of interaction regarding geographic heterogeneity in treatment effect, are important. Geographic variations are a particularly tricky form of subgroup analysis: they lack statistical power, are at best hypothesis-generating and can generate more confusion than insight. Referring to key examples, e.g. the PLATO and MERIT-HF, we emphasize the need for caution in interpreting evidence of potential geographic inconsistencies in treatment effect. Although it is appropriate to explore any biological or practical reasons for apparent geographic anomalies in treatment effect, the play of chance is often the most plausible and wise interpretation.","DOI":"10.1093/eurheartj/eht071","ISSN":"0195-668X, 1522-9645","note":"PMID: 23475529","shortTitle":"International differences in treatment effect","language":"en","author":[{"family":"Pocock","given":"Stuart"},{"family":"Calvo","given":"Gonzalo"},{"family":"Marrugat","given":"Jaume"},{"family":"Prasad","given":"Krishna"},{"family":"Tavazzi","given":"Luigi"},{"family":"Wallentin","given":"Lars"},{"family":"Zannad","given":"Faiez"},{"family":"Garcia","given":"Angeles Alonso"}],"issued":{"date-parts":[["2013",6,21]]}}}],"schema":"https://github.com/citation-style-language/schema/raw/master/csl-citation.json"} </w:instrText>
      </w:r>
      <w:r w:rsidR="000C5F53">
        <w:rPr>
          <w:rFonts w:ascii="Calibri" w:hAnsi="Calibri" w:cs="Calibri"/>
          <w:i/>
          <w:color w:val="000000"/>
          <w:lang w:eastAsia="ko-KR"/>
        </w:rPr>
        <w:fldChar w:fldCharType="separate"/>
      </w:r>
      <w:r w:rsidR="00DF6BC7" w:rsidRPr="00DF6BC7">
        <w:rPr>
          <w:rFonts w:ascii="Calibri" w:hAnsi="Calibri" w:cs="Calibri"/>
          <w:color w:val="000000"/>
          <w:vertAlign w:val="superscript"/>
        </w:rPr>
        <w:t>8</w:t>
      </w:r>
      <w:r w:rsidR="000C5F53">
        <w:rPr>
          <w:rFonts w:ascii="Calibri" w:hAnsi="Calibri" w:cs="Calibri"/>
          <w:i/>
          <w:color w:val="000000"/>
          <w:lang w:eastAsia="ko-KR"/>
        </w:rPr>
        <w:fldChar w:fldCharType="end"/>
      </w:r>
      <w:r w:rsidR="000C5F53">
        <w:rPr>
          <w:rFonts w:ascii="Calibri" w:hAnsi="Calibri" w:cs="Calibri"/>
          <w:color w:val="000000"/>
          <w:lang w:eastAsia="ko-KR"/>
        </w:rPr>
        <w:t xml:space="preserve"> Real-world evidence (RWE) can provide complementary information to validate the findings from RCTs externally.</w:t>
      </w:r>
      <w:r w:rsidR="000C5F53">
        <w:rPr>
          <w:rFonts w:ascii="Calibri" w:hAnsi="Calibri" w:cs="Calibri"/>
          <w:i/>
          <w:color w:val="000000"/>
          <w:lang w:eastAsia="ko-KR"/>
        </w:rPr>
        <w:fldChar w:fldCharType="begin"/>
      </w:r>
      <w:r w:rsidR="00DF6BC7">
        <w:rPr>
          <w:rFonts w:ascii="Calibri" w:hAnsi="Calibri" w:cs="Calibri"/>
          <w:i/>
          <w:color w:val="000000"/>
          <w:lang w:eastAsia="ko-KR"/>
        </w:rPr>
        <w:instrText xml:space="preserve"> ADDIN ZOTERO_ITEM CSL_CITATION {"citationID":"2x1B1UdZ","properties":{"formattedCitation":"\\super 9\\nosupersub{}","plainCitation":"9","noteIndex":0},"citationItems":[{"id":1809,"uris":["http://zotero.org/users/1354749/items/PAZPM5JU"],"uri":["http://zotero.org/users/1354749/items/PAZPM5JU"],"itemData":{"id":1809,"type":"article-journal","title":"Real-World Evidence — What Is It and What Can It Tell Us?","container-title":"New England Journal of Medicine","page":"2293-2297","volume":"375","issue":"23","source":"Taylor and Francis+NEJM","abstract":"The FDA is developing guidance on the use of “real-world evidence” — health care information from atypical sources, including electronic health records, billing databases, and product and disease registries — to assess the safety and effectiveness of drugs and devices.","DOI":"10.1056/NEJMsb1609216","ISSN":"0028-4793","author":[{"family":"Sherman","given":"Rachel E."},{"family":"Anderson","given":"Steven A."},{"family":"Dal Pan","given":"Gerald J."},{"family":"Gray","given":"Gerry W."},{"family":"Gross","given":"Thomas"},{"family":"Hunter","given":"Nina L."},{"family":"LaVange","given":"Lisa"},{"family":"Marinac-Dabic","given":"Danica"},{"family":"Marks","given":"Peter W."},{"family":"Robb","given":"Melissa A."},{"family":"Shuren","given":"Jeffrey"},{"family":"Temple","given":"Robert"},{"family":"Woodcock","given":"Janet"},{"family":"Yue","given":"Lilly Q."},{"family":"Califf","given":"Robert M."}],"issued":{"date-parts":[["2016",12,8]]}}}],"schema":"https://github.com/citation-style-language/schema/raw/master/csl-citation.json"} </w:instrText>
      </w:r>
      <w:r w:rsidR="000C5F53">
        <w:rPr>
          <w:rFonts w:ascii="Calibri" w:hAnsi="Calibri" w:cs="Calibri"/>
          <w:i/>
          <w:color w:val="000000"/>
          <w:lang w:eastAsia="ko-KR"/>
        </w:rPr>
        <w:fldChar w:fldCharType="separate"/>
      </w:r>
      <w:r w:rsidR="00DF6BC7" w:rsidRPr="00DF6BC7">
        <w:rPr>
          <w:rFonts w:ascii="Calibri" w:hAnsi="Calibri" w:cs="Calibri"/>
          <w:color w:val="000000"/>
          <w:vertAlign w:val="superscript"/>
        </w:rPr>
        <w:t>9</w:t>
      </w:r>
      <w:r w:rsidR="000C5F53">
        <w:rPr>
          <w:rFonts w:ascii="Calibri" w:hAnsi="Calibri" w:cs="Calibri"/>
          <w:i/>
          <w:color w:val="000000"/>
          <w:lang w:eastAsia="ko-KR"/>
        </w:rPr>
        <w:fldChar w:fldCharType="end"/>
      </w:r>
      <w:r w:rsidR="000C5F53">
        <w:rPr>
          <w:rFonts w:ascii="Calibri" w:hAnsi="Calibri" w:cs="Calibri"/>
          <w:color w:val="000000"/>
          <w:lang w:eastAsia="ko-KR"/>
        </w:rPr>
        <w:t xml:space="preserve"> </w:t>
      </w:r>
    </w:p>
    <w:p w14:paraId="555DDE8C" w14:textId="3957BE64"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Pr>
          <w:rFonts w:ascii="Calibri" w:hAnsi="Calibri" w:cs="Calibri"/>
          <w:color w:val="000000"/>
        </w:rPr>
        <w:fldChar w:fldCharType="begin"/>
      </w:r>
      <w:r w:rsidR="00DF6BC7">
        <w:rPr>
          <w:rFonts w:ascii="Calibri" w:hAnsi="Calibri" w:cs="Calibri"/>
          <w:color w:val="000000"/>
        </w:rPr>
        <w:instrText xml:space="preserve"> ADDIN ZOTERO_ITEM CSL_CITATION {"citationID":"61ieTxFP","properties":{"formattedCitation":"\\super 3\\nosupersub{}","plainCitation":"3","noteIndex":0},"citationItems":[{"id":2414,"uris":["http://zotero.org/users/1354749/items/WTUINGEN"],"uri":["http://zotero.org/users/1354749/items/WTUINGEN"],"itemData":{"id":2414,"type":"article-journal","title":"Ticagrelor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DF6BC7">
        <w:rPr>
          <w:rFonts w:ascii="Calibri" w:hAnsi="Calibri" w:cs="Calibri"/>
          <w:color w:val="000000"/>
        </w:rPr>
        <w:fldChar w:fldCharType="separate"/>
      </w:r>
      <w:r w:rsidR="00DF6BC7" w:rsidRPr="00E5611D">
        <w:rPr>
          <w:rFonts w:ascii="Calibri" w:hAnsi="Calibri" w:cs="Calibri"/>
          <w:color w:val="000000"/>
          <w:vertAlign w:val="superscript"/>
        </w:rPr>
        <w:t>3</w:t>
      </w:r>
      <w:r w:rsidR="00DF6BC7">
        <w:rPr>
          <w:rFonts w:ascii="Calibri" w:hAnsi="Calibri" w:cs="Calibri"/>
          <w:color w:val="000000"/>
        </w:rPr>
        <w:fldChar w:fldCharType="end"/>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Pr>
          <w:rFonts w:ascii="Calibri" w:hAnsi="Calibri" w:cs="Calibri"/>
          <w:color w:val="000000"/>
          <w:lang w:eastAsia="ko-KR"/>
        </w:rPr>
        <w:fldChar w:fldCharType="begin"/>
      </w:r>
      <w:r w:rsidR="00DF6BC7">
        <w:rPr>
          <w:rFonts w:ascii="Calibri" w:hAnsi="Calibri" w:cs="Calibri"/>
          <w:color w:val="000000"/>
          <w:lang w:eastAsia="ko-KR"/>
        </w:rPr>
        <w:instrText xml:space="preserve"> ADDIN ZOTERO_ITEM CSL_CITATION {"citationID":"Ht3rWJqa","properties":{"formattedCitation":"\\super 10\\nosupersub{}","plainCitation":"10","noteIndex":0},"citationItems":[{"id":2642,"uris":["http://zotero.org/users/1354749/items/CTURYAH9"],"uri":["http://zotero.org/users/1354749/items/CTURYAH9"],"itemData":{"id":2642,"type":"article-journal","title":"Ticagrelor Compared With Clopidogrel by Geographic Region in the Platelet Inhibition and Patient Outcomes (PLATO) Trial","container-title":"Circulation","page":"544-554","volume":"124","issue":"5","source":"ahajournals.org (Atypon)","abstract":"Background—In the Platelet Inhibition and Patient Outcomes (PLATO) trial, a prespecified subgroup analysis showed a significant interaction between treatment and region (P=0.045), with less effect of ticagrelor in North America than in the rest of the world.Methods and Results—Reasons for the interaction were explored independently by 2 statistical groups. Systematic errors in trial conduct were investigated. Statistical approaches evaluated the likelihood of play of chance. Cox regression analyses were performed to quantify how much of the regional interaction could be explained by patient characteristics and concomitant treatments, including aspirin maintenance therapy. Landmark Cox regressions at 8 time points evaluated the association of selected factors, including aspirin dose, with outcomes by treatment. Systematic errors in trial conduct were ruled out. Given the large number of subgroup analyses performed and that a result numerically favoring clopidogrel in at least 1 of the 4 prespecified regions could occur with 32% probability, chance alone cannot be ruled out. More patients in the United States (53.6%) than in the rest of the world (1.7%) took a median asp</w:instrText>
      </w:r>
      <w:r w:rsidR="00DF6BC7">
        <w:rPr>
          <w:rFonts w:ascii="Calibri" w:hAnsi="Calibri" w:cs="Calibri" w:hint="eastAsia"/>
          <w:color w:val="000000"/>
          <w:lang w:eastAsia="ko-KR"/>
        </w:rPr>
        <w:instrText xml:space="preserve">irin dose </w:instrText>
      </w:r>
      <w:r w:rsidR="00DF6BC7">
        <w:rPr>
          <w:rFonts w:ascii="Calibri" w:hAnsi="Calibri" w:cs="Calibri" w:hint="eastAsia"/>
          <w:color w:val="000000"/>
          <w:lang w:eastAsia="ko-KR"/>
        </w:rPr>
        <w:instrText>≥</w:instrText>
      </w:r>
      <w:r w:rsidR="00DF6BC7">
        <w:rPr>
          <w:rFonts w:ascii="Calibri" w:hAnsi="Calibri" w:cs="Calibri" w:hint="eastAsia"/>
          <w:color w:val="000000"/>
          <w:lang w:eastAsia="ko-KR"/>
        </w:rPr>
        <w:instrText>300 mg/d. Of 37 baseline and postrandomization factors explored, only aspirin dose explained a substantial fraction of the regional interaction. In adjusted analyses, both Cox regression with median maintenance dose and landmark techniques show</w:instrText>
      </w:r>
      <w:r w:rsidR="00DF6BC7">
        <w:rPr>
          <w:rFonts w:ascii="Calibri" w:hAnsi="Calibri" w:cs="Calibri"/>
          <w:color w:val="000000"/>
          <w:lang w:eastAsia="ko-KR"/>
        </w:rPr>
        <w:instrText xml:space="preserve">ed that, in patients taking low-dose maintenance aspirin, ticagrelor was associated with better outcomes compared with clopidogrel, with statistical superiority in the rest of the world and similar outcomes in the US cohort.Conclusions—The regional interaction could arise from chance alone. Results of 2 independently performed analyses identified an underlying statistical interaction with aspirin maintenance dose as a possible explanation for the regional difference. The lowest risk of cardiovascular death, myocardial infarction, or stroke with ticagrelor compared with clopidogrel is associated with a low maintenance dose of concomitant aspirin.Clinical Trial Registration—URL: http://www.clinicaltrials.gov. Unique identifier: NCT00391872.","DOI":"10.1161/CIRCULATIONAHA.111.047498","journalAbbreviation":"Circulation","author":[{"literal":"Mahaffey Kenneth W."},{"literal":"Wojdyla Daniel M."},{"literal":"Carroll Kevin"},{"literal":"Becker Richard C."},{"literal":"Storey Robert F."},{"literal":"Angiolillo Dominick J."},{"literal":"Held Claes"},{"literal":"Cannon Christopher P."},{"literal":"James Stefan"},{"literal":"Pieper Karen S."},{"literal":"Horrow Jay"},{"literal":"Harrington Robert A."},{"literal":"Wallentin Lars"}],"issued":{"date-parts":[["2011",8,2]]}}}],"schema":"https://github.com/citation-style-language/schema/raw/master/csl-citation.json"} </w:instrText>
      </w:r>
      <w:r w:rsidR="00DF6BC7">
        <w:rPr>
          <w:rFonts w:ascii="Calibri" w:hAnsi="Calibri" w:cs="Calibri"/>
          <w:color w:val="000000"/>
          <w:lang w:eastAsia="ko-KR"/>
        </w:rPr>
        <w:fldChar w:fldCharType="separate"/>
      </w:r>
      <w:r w:rsidR="00DF6BC7" w:rsidRPr="00DF6BC7">
        <w:rPr>
          <w:rFonts w:ascii="Calibri" w:hAnsi="Calibri" w:cs="Calibri"/>
          <w:color w:val="000000"/>
          <w:vertAlign w:val="superscript"/>
        </w:rPr>
        <w:t>10</w:t>
      </w:r>
      <w:r w:rsidR="00DF6BC7">
        <w:rPr>
          <w:rFonts w:ascii="Calibri" w:hAnsi="Calibri" w:cs="Calibri"/>
          <w:color w:val="000000"/>
          <w:lang w:eastAsia="ko-KR"/>
        </w:rPr>
        <w:fldChar w:fldCharType="end"/>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Pr>
          <w:rFonts w:ascii="Calibri" w:hAnsi="Calibri" w:cs="Calibri"/>
          <w:color w:val="000000"/>
          <w:lang w:eastAsia="ko-KR"/>
        </w:rPr>
        <w:fldChar w:fldCharType="begin"/>
      </w:r>
      <w:r w:rsidR="00787DE7">
        <w:rPr>
          <w:rFonts w:ascii="Calibri" w:hAnsi="Calibri" w:cs="Calibri"/>
          <w:color w:val="000000"/>
          <w:lang w:eastAsia="ko-KR"/>
        </w:rPr>
        <w:instrText xml:space="preserve"> ADDIN ZOTERO_ITEM CSL_CITATION {"citationID":"736pRDwi","properties":{"formattedCitation":"\\super 11\\nosupersub{}","plainCitation":"11","noteIndex":0},"citationItems":[{"id":2409,"uris":["http://zotero.org/users/1354749/items/T6JCH7KH"],"uri":["http://zotero.org/users/1354749/items/T6JCH7KH"],"itemData":{"id":2409,"type":"article-journal","title":"Ticagrelor vs. Clopidogrel in Japanese, Korean and Taiwanese Patients With Acute Coronary Syndrome – Randomized, Double-Blind, Phase III PHILO Study –","container-title":"Circulation Journal","page":"2452-2460","volume":"79","issue":"11","source":"J-Stage","abstract":"Background:Few data on the relative efficacy and safety of new P2Y12inhibitors such as prasugrel and ticagrelor in Japanese, Taiwanese and South Korean patients with acute coronary syndromes (ACS) exist.Methods and Results:The multicenter, double-blind, randomized PHILO trial compared the safety and efficacy of ticagrelor vs. clopidogrel in 801 patients with ACS (Japanese, n=721; Taiwanese, n=35; South Korean, n=44; unknown ethnicity, n=1). All were planned to undergo percutaneous coronary intervention and randomized within 24 h of symptom onset. Primary safety and efficacy endpoints were time to first occurrence of any major bleeding event and to any event from the composite of myocardial infarction, stroke or death from vascular causes, respectively.At 12 months, overall major bleeding occurred in 10.3% of ticagrelor-treated patients and in 6.8% of clopidogrel-treated patients (hazard ratio (HR), 1.54; 95% confidence interval  (CI): 0.94–2.53); the composite primary efficacy endpoint occurred in 9.0% and in 6.3% of ticagrelor- and clopidogrel-treated patients, respectively (HR, 1.47; 95% CI: 0.88–2.44). For both analyses, the difference between groups was not statistically significant.Conclusions:In ACS patients from Japan, Taiwan and South Korea, event rates of primary safety and efficacy endpoints were higher, albeit not significantly, in ticagrelor-treated patients compared with clopidogrel-treated patients. This observation could be explained by the small sample size, imbalance in clinical characteristics and low number of events in the PHILO population.  (Circ J 2015; 79: 2452–2460)","DOI":"10.1253/circj.CJ-15-0112","author":[{"family":"Goto","given":"Shinya"},{"family":"Huang","given":"Chien-Hua"},{"family":"Park","given":"Seung-Jung"},{"family":"Emanuelsson","given":"Håkan"},{"family":"Kimura","given":"Takeshi"}],"issued":{"date-parts":[["2015"]]}}}],"schema":"https://github.com/citation-style-language/schema/raw/master/csl-citation.json"} </w:instrText>
      </w:r>
      <w:r w:rsidR="00787DE7">
        <w:rPr>
          <w:rFonts w:ascii="Calibri" w:hAnsi="Calibri" w:cs="Calibri"/>
          <w:color w:val="000000"/>
          <w:lang w:eastAsia="ko-KR"/>
        </w:rPr>
        <w:fldChar w:fldCharType="separate"/>
      </w:r>
      <w:r w:rsidR="00787DE7" w:rsidRPr="00787DE7">
        <w:rPr>
          <w:rFonts w:ascii="Calibri" w:hAnsi="Calibri" w:cs="Calibri"/>
          <w:color w:val="000000"/>
          <w:vertAlign w:val="superscript"/>
        </w:rPr>
        <w:t>11</w:t>
      </w:r>
      <w:r w:rsidR="00787DE7">
        <w:rPr>
          <w:rFonts w:ascii="Calibri" w:hAnsi="Calibri" w:cs="Calibri"/>
          <w:color w:val="000000"/>
          <w:lang w:eastAsia="ko-KR"/>
        </w:rPr>
        <w:fldChar w:fldCharType="end"/>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r>
        <w:t>Study Objectives</w:t>
      </w:r>
      <w:bookmarkEnd w:id="5"/>
    </w:p>
    <w:p w14:paraId="19985B9B" w14:textId="3D4185F4" w:rsidR="00354C2C" w:rsidRDefault="001430B5" w:rsidP="00354C2C">
      <w:pPr>
        <w:pStyle w:val="Heading2"/>
      </w:pPr>
      <w:r>
        <w:t>Primary Hypothes</w:t>
      </w:r>
      <w:r w:rsidR="00536FE0">
        <w:t>i</w:t>
      </w:r>
      <w:r>
        <w:t>s</w:t>
      </w:r>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72981D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1 year. </w:t>
      </w:r>
    </w:p>
    <w:p w14:paraId="50AB8CE5" w14:textId="0D308326" w:rsidR="001430B5" w:rsidRDefault="001430B5" w:rsidP="001430B5">
      <w:pPr>
        <w:pStyle w:val="Heading2"/>
      </w:pPr>
      <w:r>
        <w:t>Secondary Hypotheses</w:t>
      </w:r>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lastRenderedPageBreak/>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6" w:name="_Toc470944208"/>
      <w:r>
        <w:t>Primary o</w:t>
      </w:r>
      <w:r w:rsidR="0009249C">
        <w:t>bjectives</w:t>
      </w:r>
      <w:bookmarkEnd w:id="6"/>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r>
        <w:t>Secondary objectives</w:t>
      </w:r>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7" w:name="_Toc470944209"/>
      <w:r>
        <w:lastRenderedPageBreak/>
        <w:t>Research me</w:t>
      </w:r>
      <w:r w:rsidR="00106CBC">
        <w:t>t</w:t>
      </w:r>
      <w:r>
        <w:t>hods</w:t>
      </w:r>
      <w:bookmarkEnd w:id="7"/>
    </w:p>
    <w:p w14:paraId="57891139" w14:textId="77777777" w:rsidR="00354C2C" w:rsidRDefault="00647841" w:rsidP="00647841">
      <w:pPr>
        <w:pStyle w:val="Heading2"/>
      </w:pPr>
      <w:bookmarkStart w:id="8" w:name="_Toc470944210"/>
      <w:r>
        <w:t xml:space="preserve">Study </w:t>
      </w:r>
      <w:r w:rsidR="00EF05FD">
        <w:t>D</w:t>
      </w:r>
      <w:r>
        <w:t>esign</w:t>
      </w:r>
      <w:bookmarkEnd w:id="8"/>
    </w:p>
    <w:p w14:paraId="4066A27B" w14:textId="77777777" w:rsidR="00FC47D9" w:rsidRPr="00FC47D9" w:rsidRDefault="00FC47D9" w:rsidP="00FC47D9">
      <w:pPr>
        <w:pStyle w:val="Heading3"/>
      </w:pPr>
      <w:bookmarkStart w:id="9" w:name="_Toc470944211"/>
      <w:r>
        <w:t>Overview</w:t>
      </w:r>
      <w:bookmarkEnd w:id="9"/>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3AD738D4"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0" w:name="_Toc470944212"/>
      <w:r>
        <w:rPr>
          <w:rFonts w:eastAsia="Malgun Gothic" w:hint="eastAsia"/>
          <w:lang w:eastAsia="ko-KR"/>
        </w:rPr>
        <w:t>S</w:t>
      </w:r>
      <w:r>
        <w:rPr>
          <w:rFonts w:eastAsia="Malgun Gothic"/>
          <w:lang w:eastAsia="ko-KR"/>
        </w:rPr>
        <w:t>tudy population</w:t>
      </w:r>
    </w:p>
    <w:p w14:paraId="32A29479" w14:textId="4EF0BBD6" w:rsidR="00FC47D9" w:rsidRDefault="000D46CF" w:rsidP="00961DED">
      <w:pPr>
        <w:pStyle w:val="Heading3"/>
      </w:pPr>
      <w:r>
        <w:t xml:space="preserve">Primary </w:t>
      </w:r>
      <w:r w:rsidR="00FA320A">
        <w:t xml:space="preserve">Study </w:t>
      </w:r>
      <w:r w:rsidR="00300ED7">
        <w:t>population</w:t>
      </w:r>
      <w:bookmarkEnd w:id="10"/>
    </w:p>
    <w:p w14:paraId="51E3E3DB" w14:textId="36D50F58" w:rsidR="00C34318" w:rsidRDefault="00C34318" w:rsidP="00C34318">
      <w:r>
        <w:t xml:space="preserve">All subjects in the database will be included who meet the following criteria: (note: the index date is the start of the exposure to </w:t>
      </w:r>
      <w:r w:rsidR="00487E41">
        <w:t>ticagrelor</w:t>
      </w:r>
      <w:r>
        <w:t xml:space="preserve"> or </w:t>
      </w:r>
      <w:r w:rsidR="00487E41">
        <w:t>clopidogrel</w:t>
      </w:r>
      <w:r>
        <w:t>)</w:t>
      </w:r>
    </w:p>
    <w:p w14:paraId="2EA92CD0" w14:textId="4C62F4A4" w:rsidR="00C34318" w:rsidRDefault="00C34318" w:rsidP="006D3346">
      <w:pPr>
        <w:pStyle w:val="ListParagraph"/>
        <w:numPr>
          <w:ilvl w:val="0"/>
          <w:numId w:val="4"/>
        </w:numPr>
      </w:pPr>
      <w:r>
        <w:t xml:space="preserve">Exposure to </w:t>
      </w:r>
      <w:r w:rsidR="00342A5C">
        <w:rPr>
          <w:lang w:eastAsia="ko-KR"/>
        </w:rPr>
        <w:t>ticagrelor</w:t>
      </w:r>
      <w:r>
        <w:t xml:space="preserve"> or </w:t>
      </w:r>
      <w:r w:rsidR="00342A5C">
        <w:t>clopidogrel</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ListParagraph"/>
        <w:numPr>
          <w:ilvl w:val="0"/>
          <w:numId w:val="4"/>
        </w:numPr>
      </w:pPr>
      <w:r>
        <w:t>A procedure of PCI between 7 days before and 7 days after the index date</w:t>
      </w:r>
    </w:p>
    <w:p w14:paraId="5F5B5BC3" w14:textId="3D86E370" w:rsidR="00C34318" w:rsidRDefault="00C34318" w:rsidP="006D3346">
      <w:pPr>
        <w:pStyle w:val="ListParagraph"/>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ListParagraph"/>
        <w:numPr>
          <w:ilvl w:val="0"/>
          <w:numId w:val="4"/>
        </w:numPr>
      </w:pPr>
      <w:r>
        <w:t>Concomitant aspirin use between 7 days before and 7 days after the index date</w:t>
      </w:r>
    </w:p>
    <w:p w14:paraId="20413260" w14:textId="43543C10"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ListParagraph"/>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224D94E7"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1556219C" w14:textId="0FA4C3CC" w:rsidR="000D46CF" w:rsidRDefault="000D46CF" w:rsidP="00111C23">
      <w:pPr>
        <w:pStyle w:val="Heading3"/>
      </w:pPr>
      <w:r>
        <w:t>Study population for sensitivity analysis</w:t>
      </w:r>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003793A9" w14:textId="41335E51" w:rsidR="000D46CF" w:rsidRDefault="000D46CF" w:rsidP="000D46CF">
      <w:pPr>
        <w:pStyle w:val="ListParagraph"/>
        <w:numPr>
          <w:ilvl w:val="0"/>
          <w:numId w:val="4"/>
        </w:numPr>
      </w:pPr>
      <w:r>
        <w:t xml:space="preserve">Exposure to </w:t>
      </w:r>
      <w:r>
        <w:rPr>
          <w:lang w:eastAsia="ko-KR"/>
        </w:rPr>
        <w:t>ticagrelor</w:t>
      </w:r>
      <w:r>
        <w:t xml:space="preserve"> or clopidogrel from 2013-03-01 to 2016-12-31. </w:t>
      </w:r>
    </w:p>
    <w:p w14:paraId="6F287450" w14:textId="77777777" w:rsidR="000D46CF" w:rsidRDefault="000D46CF" w:rsidP="000D46CF">
      <w:pPr>
        <w:pStyle w:val="ListParagraph"/>
        <w:numPr>
          <w:ilvl w:val="0"/>
          <w:numId w:val="4"/>
        </w:numPr>
      </w:pPr>
      <w:r>
        <w:t>20 years old or older</w:t>
      </w:r>
    </w:p>
    <w:p w14:paraId="7E030A8F" w14:textId="77777777" w:rsidR="000D46CF" w:rsidRDefault="000D46CF" w:rsidP="000D46CF">
      <w:pPr>
        <w:pStyle w:val="ListParagraph"/>
        <w:numPr>
          <w:ilvl w:val="0"/>
          <w:numId w:val="4"/>
        </w:numPr>
      </w:pPr>
      <w:r>
        <w:t>At least 365 days of observation time prior to the index date</w:t>
      </w:r>
    </w:p>
    <w:p w14:paraId="55B914F2" w14:textId="77777777" w:rsidR="000D46CF" w:rsidRDefault="000D46CF" w:rsidP="000D46CF">
      <w:pPr>
        <w:pStyle w:val="ListParagraph"/>
        <w:numPr>
          <w:ilvl w:val="0"/>
          <w:numId w:val="4"/>
        </w:numPr>
      </w:pPr>
      <w:r>
        <w:t>A procedure of PCI between 7 days before and 7 days after the index date</w:t>
      </w:r>
    </w:p>
    <w:p w14:paraId="386571A3" w14:textId="77777777" w:rsidR="000D46CF" w:rsidRDefault="000D46CF" w:rsidP="000D46CF">
      <w:pPr>
        <w:pStyle w:val="ListParagraph"/>
        <w:numPr>
          <w:ilvl w:val="0"/>
          <w:numId w:val="4"/>
        </w:numPr>
      </w:pPr>
      <w:r>
        <w:t>A diagnose of ACS between 7 days before and 7 days after the index date</w:t>
      </w:r>
    </w:p>
    <w:p w14:paraId="26C55F5F" w14:textId="77777777" w:rsidR="000D46CF" w:rsidRDefault="000D46CF" w:rsidP="000D46CF">
      <w:pPr>
        <w:pStyle w:val="ListParagraph"/>
        <w:numPr>
          <w:ilvl w:val="0"/>
          <w:numId w:val="4"/>
        </w:numPr>
      </w:pPr>
      <w:r>
        <w:lastRenderedPageBreak/>
        <w:t>Concomitant aspirin use between 7 days before and 7 days after the index date</w:t>
      </w:r>
    </w:p>
    <w:p w14:paraId="7CE87B3A" w14:textId="77777777" w:rsidR="000D46CF" w:rsidRDefault="000D46CF" w:rsidP="000D46CF">
      <w:pPr>
        <w:pStyle w:val="ListParagraph"/>
        <w:numPr>
          <w:ilvl w:val="0"/>
          <w:numId w:val="4"/>
        </w:numPr>
      </w:pPr>
      <w:r>
        <w:t xml:space="preserve">Without use of prasugrel or the </w:t>
      </w:r>
      <w:r>
        <w:rPr>
          <w:lang w:eastAsia="ko-KR"/>
        </w:rPr>
        <w:t>opposing drug within previous 30 days from index date</w:t>
      </w:r>
    </w:p>
    <w:p w14:paraId="7DCC575A" w14:textId="77777777" w:rsidR="000D46CF" w:rsidRDefault="000D46CF" w:rsidP="000D46CF">
      <w:pPr>
        <w:pStyle w:val="ListParagraph"/>
        <w:numPr>
          <w:ilvl w:val="0"/>
          <w:numId w:val="4"/>
        </w:numPr>
      </w:pPr>
      <w:r>
        <w:rPr>
          <w:rFonts w:hint="eastAsia"/>
          <w:lang w:eastAsia="ko-KR"/>
        </w:rPr>
        <w:t>N</w:t>
      </w:r>
      <w:r>
        <w:rPr>
          <w:lang w:eastAsia="ko-KR"/>
        </w:rPr>
        <w:t>o diagnosis of the stroke preceding the index date</w:t>
      </w:r>
    </w:p>
    <w:p w14:paraId="23401E7E" w14:textId="77777777" w:rsidR="000D46CF" w:rsidRDefault="000D46CF" w:rsidP="000D46CF">
      <w:pPr>
        <w:pStyle w:val="ListParagraph"/>
        <w:numPr>
          <w:ilvl w:val="0"/>
          <w:numId w:val="4"/>
        </w:numPr>
      </w:pPr>
      <w:r>
        <w:rPr>
          <w:rFonts w:hint="eastAsia"/>
          <w:lang w:eastAsia="ko-KR"/>
        </w:rPr>
        <w:t>N</w:t>
      </w:r>
      <w:r>
        <w:rPr>
          <w:lang w:eastAsia="ko-KR"/>
        </w:rPr>
        <w:t>o diagnosis of the GI bleeding preceding the index date</w:t>
      </w:r>
    </w:p>
    <w:p w14:paraId="4D96C075" w14:textId="41C5E95A" w:rsidR="00BE5778" w:rsidRDefault="00BE5778" w:rsidP="00BE5778"/>
    <w:p w14:paraId="3D203E54" w14:textId="77777777" w:rsidR="002E7FF9" w:rsidRDefault="002E7FF9" w:rsidP="00E25E4C">
      <w:pPr>
        <w:pStyle w:val="Heading2"/>
      </w:pPr>
      <w:bookmarkStart w:id="11" w:name="_Toc470944216"/>
      <w:r>
        <w:t>Exposures</w:t>
      </w:r>
      <w:bookmarkEnd w:id="11"/>
    </w:p>
    <w:p w14:paraId="7CAE8447" w14:textId="4C218F5B" w:rsidR="00E25E4C" w:rsidRDefault="00E25E4C" w:rsidP="00E25E4C">
      <w:pPr>
        <w:pStyle w:val="Heading3"/>
      </w:pPr>
      <w:r>
        <w:t>Target: Ticagrelor user with percutaneous coronary injury due to acute coronary syndrome</w:t>
      </w:r>
    </w:p>
    <w:p w14:paraId="462BE875"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D81ABB2"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12A4815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4C01B600"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78AFF2F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1108ED30"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1E7FFCD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2F148D7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284E122"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procedure of PCI</w:t>
      </w:r>
    </w:p>
    <w:p w14:paraId="7EBD9E5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B6FF9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1C6360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4C1351C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1C362C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558A39F"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1489E8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9AEF2A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9F11E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C7DED8F"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160F545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6523CC85"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#3: Without clopidogrel or prasugrel on the day of PCI</w:t>
      </w:r>
    </w:p>
    <w:p w14:paraId="296A03A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319EDE2"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clopidogrel</w:t>
      </w:r>
    </w:p>
    <w:p w14:paraId="74C7F25B"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30 days Before and 0 days After index start date</w:t>
      </w:r>
    </w:p>
    <w:p w14:paraId="35A9858B"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4375025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AE752B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175E110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EBFF078"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7478E4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CE45DC5"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E2E1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2F6B65A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6267E3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DC5150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1CC513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F8F9A2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31A862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3B98EC1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74A6267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51E839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1EAB021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17CC63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1CA14FC2" w14:textId="5E253C32" w:rsidR="00E25E4C" w:rsidRDefault="00E25E4C" w:rsidP="00E25E4C">
      <w:pPr>
        <w:pStyle w:val="Heading3"/>
      </w:pPr>
      <w:r>
        <w:t xml:space="preserve">Comparator: </w:t>
      </w:r>
      <w:r w:rsidR="00F21F69">
        <w:t>Clopidogrel</w:t>
      </w:r>
      <w:r>
        <w:t xml:space="preserve"> user with percutaneous coronary injury due to acute coronary syndrome</w:t>
      </w:r>
    </w:p>
    <w:p w14:paraId="550C79E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5AAD6244"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489FB24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r>
        <w:rPr>
          <w:rFonts w:ascii="Segoe UI" w:eastAsia="Times New Roman" w:hAnsi="Segoe UI" w:cs="Segoe UI"/>
          <w:color w:val="333333"/>
          <w:sz w:val="18"/>
          <w:szCs w:val="18"/>
          <w:lang w:eastAsia="ko-KR"/>
        </w:rPr>
        <w:t>clopidogrel</w:t>
      </w:r>
    </w:p>
    <w:p w14:paraId="31864281"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6B20F0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77F65F6B"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41B785B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89131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2D25D4"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at least 1 occurrences of a procedure of PCI</w:t>
      </w:r>
    </w:p>
    <w:p w14:paraId="2011028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9A6D4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0A5E0E4A"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5556DEC9"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00AD9DD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1F8BF168"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56B8E92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ED4DE9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6AF94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E8FC44"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6E22ABB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3239F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48B32DE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1CF4215A"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5CB042E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1035D26"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291974B7"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509F585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0C0CBC8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FA84B7F"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652E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2B73117"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48E2E15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2ECE53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15212D9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4DEDAD0"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647D390C"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02793F"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Limit qualifying cohort to: </w:t>
      </w:r>
      <w:r w:rsidRPr="00251097">
        <w:rPr>
          <w:rFonts w:ascii="Segoe UI" w:eastAsia="Times New Roman" w:hAnsi="Segoe UI" w:cs="Segoe UI"/>
          <w:b/>
          <w:bCs/>
          <w:color w:val="333333"/>
          <w:sz w:val="18"/>
          <w:szCs w:val="18"/>
          <w:lang w:eastAsia="ko-KR"/>
        </w:rPr>
        <w:t>earliest event per person.</w:t>
      </w:r>
    </w:p>
    <w:p w14:paraId="00F2315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665BAD1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660B7CE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61C3AEC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w:t>
      </w:r>
      <w:r>
        <w:rPr>
          <w:rFonts w:ascii="Segoe UI" w:eastAsia="Times New Roman" w:hAnsi="Segoe UI" w:cs="Segoe UI"/>
          <w:color w:val="333333"/>
          <w:sz w:val="18"/>
          <w:szCs w:val="18"/>
          <w:lang w:eastAsia="ko-KR"/>
        </w:rPr>
        <w:t>clopidogrel</w:t>
      </w:r>
    </w:p>
    <w:p w14:paraId="2B1470E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4A3CA76F" w14:textId="63AA1EA6" w:rsidR="002E7FF9"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4D088FB2" w14:textId="77B933DC" w:rsidR="0071318F" w:rsidRDefault="00EF55EB" w:rsidP="0071318F">
      <w:pPr>
        <w:pStyle w:val="Heading2"/>
      </w:pPr>
      <w:r>
        <w:t>Outcomes</w:t>
      </w:r>
    </w:p>
    <w:p w14:paraId="5C7D82B8" w14:textId="77777777" w:rsidR="0071318F" w:rsidRDefault="0071318F" w:rsidP="0071318F">
      <w:pPr>
        <w:pStyle w:val="Heading3"/>
      </w:pPr>
      <w:bookmarkStart w:id="12" w:name="_Toc470944217"/>
      <w:r>
        <w:t>Outcomes</w:t>
      </w:r>
      <w:bookmarkEnd w:id="12"/>
    </w:p>
    <w:p w14:paraId="560CABA1" w14:textId="77777777" w:rsidR="0071318F" w:rsidRDefault="0071318F" w:rsidP="0071318F">
      <w:pPr>
        <w:pStyle w:val="Heading4"/>
        <w:numPr>
          <w:ilvl w:val="0"/>
          <w:numId w:val="0"/>
        </w:numPr>
      </w:pPr>
      <w:r>
        <w:t>Primary outcome: Net Adverse Clinical Event</w:t>
      </w:r>
    </w:p>
    <w:p w14:paraId="3F2110B6" w14:textId="77777777"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Batang" w:eastAsia="Batang" w:hAnsi="Batang" w:cs="Batang"/>
          <w:lang w:eastAsia="ko-KR"/>
        </w:rPr>
      </w:pPr>
      <w:r>
        <w:t>Secondary outcome: Ischemic event</w:t>
      </w:r>
    </w:p>
    <w:p w14:paraId="42905313" w14:textId="77777777" w:rsidR="0071318F" w:rsidRDefault="0071318F" w:rsidP="0071318F">
      <w:r>
        <w:t xml:space="preserve">Index rule defining the index date:  </w:t>
      </w:r>
    </w:p>
    <w:p w14:paraId="35CFC895" w14:textId="5FBA3CD0" w:rsidR="0071318F" w:rsidRDefault="0071318F" w:rsidP="0071318F">
      <w:pPr>
        <w:pStyle w:val="ListParagraph"/>
        <w:numPr>
          <w:ilvl w:val="0"/>
          <w:numId w:val="1"/>
        </w:numPr>
      </w:pPr>
      <w:r>
        <w:t xml:space="preserve">Occurrence of acute myocardial infarction, any revascularization, or ischemic stroke </w:t>
      </w:r>
      <w:r w:rsidR="00C77CAF">
        <w:t xml:space="preserve">event </w:t>
      </w:r>
      <w:r>
        <w:t>with same-day hospitalization (inpatient or emergency department visit)</w:t>
      </w:r>
    </w:p>
    <w:p w14:paraId="7F4EDD4F" w14:textId="77777777" w:rsidR="0071318F" w:rsidRPr="00C77CAF" w:rsidRDefault="0071318F" w:rsidP="0071318F">
      <w:pPr>
        <w:rPr>
          <w:lang w:eastAsia="ko-KR"/>
        </w:rPr>
      </w:pPr>
    </w:p>
    <w:p w14:paraId="0F8D1018" w14:textId="77777777" w:rsidR="0071318F" w:rsidRPr="002C6E95" w:rsidRDefault="0071318F" w:rsidP="0071318F">
      <w:pPr>
        <w:pStyle w:val="Heading4"/>
        <w:numPr>
          <w:ilvl w:val="0"/>
          <w:numId w:val="0"/>
        </w:numPr>
        <w:rPr>
          <w:rFonts w:ascii="Batang" w:eastAsia="Batang" w:hAnsi="Batang" w:cs="Batang"/>
          <w:lang w:eastAsia="ko-KR"/>
        </w:rPr>
      </w:pPr>
      <w:r>
        <w:t>Secondary outcome: Bleeding event</w:t>
      </w:r>
    </w:p>
    <w:p w14:paraId="31AF2DE1" w14:textId="77777777" w:rsidR="0071318F" w:rsidRDefault="0071318F" w:rsidP="0071318F">
      <w:r>
        <w:t xml:space="preserve">Index rule defining the index date:  </w:t>
      </w:r>
    </w:p>
    <w:p w14:paraId="287FDD51" w14:textId="5F692F87" w:rsidR="0071318F" w:rsidRDefault="0071318F" w:rsidP="0071318F">
      <w:pPr>
        <w:pStyle w:val="ListParagraph"/>
        <w:numPr>
          <w:ilvl w:val="0"/>
          <w:numId w:val="1"/>
        </w:numPr>
      </w:pPr>
      <w:r>
        <w:t xml:space="preserve">Occurrence of intracranial hemorrhage or gastrointestinal bleeding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Batang" w:eastAsia="Batang" w:hAnsi="Batang" w:cs="Batang"/>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77777777" w:rsidR="0071318F" w:rsidRDefault="0071318F" w:rsidP="0071318F">
      <w:pPr>
        <w:pStyle w:val="ListParagraph"/>
        <w:numPr>
          <w:ilvl w:val="0"/>
          <w:numId w:val="1"/>
        </w:numPr>
      </w:pPr>
      <w:r>
        <w:t>Occurrence of acute myocardial infarction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Batang" w:eastAsia="Batang" w:hAnsi="Batang" w:cs="Batang"/>
          <w:lang w:eastAsia="ko-KR"/>
        </w:rPr>
      </w:pPr>
      <w:r>
        <w:t>Secondary outcome: Any revascularization</w:t>
      </w:r>
    </w:p>
    <w:p w14:paraId="3DFB8828" w14:textId="77777777" w:rsidR="0071318F" w:rsidRDefault="0071318F" w:rsidP="0071318F">
      <w:r>
        <w:t xml:space="preserve">Index rule defining the index date:  </w:t>
      </w:r>
    </w:p>
    <w:p w14:paraId="75A34949" w14:textId="77777777" w:rsidR="0071318F" w:rsidRDefault="0071318F" w:rsidP="0071318F">
      <w:pPr>
        <w:pStyle w:val="ListParagraph"/>
        <w:numPr>
          <w:ilvl w:val="0"/>
          <w:numId w:val="1"/>
        </w:numPr>
      </w:pPr>
      <w:r>
        <w:lastRenderedPageBreak/>
        <w:t>Occurrence of percutaneous coronary intervention or CABG code with same-day hospitalization (inpatient or emergency department visit)</w:t>
      </w:r>
    </w:p>
    <w:p w14:paraId="143F5ECC" w14:textId="77777777" w:rsidR="0071318F" w:rsidRDefault="0071318F" w:rsidP="0071318F">
      <w:pPr>
        <w:rPr>
          <w:lang w:eastAsia="ko-KR"/>
        </w:rPr>
      </w:pPr>
    </w:p>
    <w:p w14:paraId="5E247387" w14:textId="77777777" w:rsidR="0071318F" w:rsidRPr="002C6E95" w:rsidRDefault="0071318F" w:rsidP="0071318F">
      <w:pPr>
        <w:pStyle w:val="Heading4"/>
        <w:numPr>
          <w:ilvl w:val="0"/>
          <w:numId w:val="0"/>
        </w:numPr>
        <w:rPr>
          <w:rFonts w:ascii="Batang" w:eastAsia="Batang" w:hAnsi="Batang" w:cs="Batang"/>
          <w:lang w:eastAsia="ko-KR"/>
        </w:rPr>
      </w:pPr>
      <w:r>
        <w:t>Secondary outcome: Ischemic stroke</w:t>
      </w:r>
    </w:p>
    <w:p w14:paraId="3770DD75" w14:textId="77777777" w:rsidR="0071318F" w:rsidRDefault="0071318F" w:rsidP="0071318F">
      <w:r>
        <w:t xml:space="preserve">Index rule defining the index date:  </w:t>
      </w:r>
    </w:p>
    <w:p w14:paraId="7FEC9C0E" w14:textId="540FADDD" w:rsidR="0071318F" w:rsidRDefault="0071318F" w:rsidP="0071318F">
      <w:pPr>
        <w:pStyle w:val="ListParagraph"/>
        <w:numPr>
          <w:ilvl w:val="0"/>
          <w:numId w:val="1"/>
        </w:numPr>
      </w:pPr>
      <w:r>
        <w:t>Occurrence of ischemic stroke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Heading4"/>
        <w:numPr>
          <w:ilvl w:val="0"/>
          <w:numId w:val="0"/>
        </w:numPr>
        <w:rPr>
          <w:rFonts w:ascii="Batang" w:eastAsia="Batang" w:hAnsi="Batang" w:cs="Batang"/>
          <w:lang w:eastAsia="ko-KR"/>
        </w:rPr>
      </w:pPr>
      <w:r>
        <w:t>Secondary outcome: Intracranial hemorrhage</w:t>
      </w:r>
    </w:p>
    <w:p w14:paraId="74672AB1" w14:textId="77777777" w:rsidR="0071318F" w:rsidRDefault="0071318F" w:rsidP="0071318F">
      <w:r>
        <w:t xml:space="preserve">Index rule defining the index date:  </w:t>
      </w:r>
    </w:p>
    <w:p w14:paraId="34DDCE0C" w14:textId="69200B75" w:rsidR="0071318F" w:rsidRDefault="0071318F" w:rsidP="0071318F">
      <w:pPr>
        <w:pStyle w:val="ListParagraph"/>
        <w:numPr>
          <w:ilvl w:val="0"/>
          <w:numId w:val="1"/>
        </w:numPr>
      </w:pPr>
      <w:r>
        <w:t>Occurrence of intracranial hemorrhage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Batang" w:eastAsia="Batang" w:hAnsi="Batang" w:cs="Batang"/>
          <w:lang w:eastAsia="ko-KR"/>
        </w:rPr>
      </w:pPr>
      <w:r>
        <w:t>Secondary outcome: Gastrointestinal bleeding</w:t>
      </w:r>
    </w:p>
    <w:p w14:paraId="53CF8704" w14:textId="77777777" w:rsidR="0071318F" w:rsidRDefault="0071318F" w:rsidP="0071318F">
      <w:r>
        <w:t xml:space="preserve">Index rule defining the index date:  </w:t>
      </w:r>
    </w:p>
    <w:p w14:paraId="5B7B7885" w14:textId="7A4B3DFF" w:rsidR="0071318F" w:rsidRDefault="0071318F" w:rsidP="0071318F">
      <w:pPr>
        <w:pStyle w:val="ListParagraph"/>
        <w:numPr>
          <w:ilvl w:val="0"/>
          <w:numId w:val="1"/>
        </w:numPr>
      </w:pPr>
      <w:r>
        <w:t>Occurrence of gastrointestinal bleeding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Batang" w:eastAsia="Batang" w:hAnsi="Batang" w:cs="Batang"/>
          <w:lang w:eastAsia="ko-KR"/>
        </w:rPr>
      </w:pPr>
      <w:r>
        <w:t>Secondary outcome: Dyspnea</w:t>
      </w:r>
    </w:p>
    <w:p w14:paraId="2BAD9652" w14:textId="77777777" w:rsidR="0060380A" w:rsidRDefault="0060380A" w:rsidP="0060380A">
      <w:r>
        <w:t xml:space="preserve">Index rule defining the index date:  </w:t>
      </w:r>
    </w:p>
    <w:p w14:paraId="3D6CA2C1" w14:textId="6ADDE44A" w:rsidR="0060380A" w:rsidRDefault="0060380A" w:rsidP="0060380A">
      <w:pPr>
        <w:pStyle w:val="ListParagraph"/>
        <w:numPr>
          <w:ilvl w:val="0"/>
          <w:numId w:val="1"/>
        </w:numPr>
      </w:pPr>
      <w:r>
        <w:t xml:space="preserve">Occurrence of </w:t>
      </w:r>
      <w:r w:rsidR="000A0FEC">
        <w:t xml:space="preserve">dyspnea </w:t>
      </w:r>
      <w:r>
        <w:t xml:space="preserve">code </w:t>
      </w:r>
    </w:p>
    <w:p w14:paraId="6F7B17A6" w14:textId="521B2DB8" w:rsidR="0060380A" w:rsidRDefault="0060380A" w:rsidP="0071318F"/>
    <w:p w14:paraId="12372A37" w14:textId="14B449EA" w:rsidR="0060380A" w:rsidRPr="002C6E95" w:rsidRDefault="0060380A" w:rsidP="0060380A">
      <w:pPr>
        <w:pStyle w:val="Heading4"/>
        <w:numPr>
          <w:ilvl w:val="0"/>
          <w:numId w:val="0"/>
        </w:numPr>
        <w:rPr>
          <w:rFonts w:ascii="Batang" w:eastAsia="Batang" w:hAnsi="Batang" w:cs="Batang"/>
          <w:lang w:eastAsia="ko-KR"/>
        </w:rPr>
      </w:pPr>
      <w:r>
        <w:t>Secondary outcome: Death</w:t>
      </w:r>
    </w:p>
    <w:p w14:paraId="28E2A6A5" w14:textId="2E699100" w:rsidR="00CE669E" w:rsidRPr="000734B4" w:rsidRDefault="00851A7E" w:rsidP="00851A7E">
      <w:pPr>
        <w:shd w:val="clear" w:color="auto" w:fill="FFFFFF"/>
        <w:spacing w:after="45" w:line="240" w:lineRule="auto"/>
        <w:rPr>
          <w:rFonts w:ascii="Times New Roman" w:eastAsia="Times New Roman" w:hAnsi="Times New Roman" w:cs="Times New Roman"/>
          <w:sz w:val="24"/>
          <w:szCs w:val="24"/>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13" w:name="_Toc470944219"/>
      <w:r>
        <w:t>Negative controls</w:t>
      </w:r>
      <w:bookmarkEnd w:id="13"/>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 xml:space="preserve">We believe that negative controls are </w:t>
      </w:r>
      <w:r>
        <w:lastRenderedPageBreak/>
        <w:t>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155DFA4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7280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5A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D7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6C886BE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510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A22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66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EF55EB" w:rsidRPr="00A176EE" w14:paraId="5C5CF3B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FF3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0E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DEC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7B1D31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7CED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779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865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2BC0E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21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6434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B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EF55EB" w:rsidRPr="00A176EE" w14:paraId="0C7F74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F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1B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785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316894E1" w14:textId="77777777" w:rsidR="00EF55EB" w:rsidRDefault="00EF55EB" w:rsidP="00EF55EB">
      <w:pPr>
        <w:pStyle w:val="Heading3"/>
        <w:rPr>
          <w:rFonts w:eastAsia="Malgun Gothic"/>
          <w:lang w:eastAsia="ko-KR"/>
        </w:rPr>
      </w:pPr>
      <w:r>
        <w:rPr>
          <w:rFonts w:eastAsia="Malgun Gothic" w:hint="eastAsia"/>
          <w:lang w:eastAsia="ko-KR"/>
        </w:rPr>
        <w:t>P</w:t>
      </w:r>
      <w:r>
        <w:rPr>
          <w:rFonts w:eastAsia="Malgun Gothic"/>
          <w:lang w:eastAsia="ko-KR"/>
        </w:rPr>
        <w:t>ositive control outcomes</w:t>
      </w:r>
    </w:p>
    <w:p w14:paraId="142439DB" w14:textId="463ED512" w:rsidR="00EF55EB" w:rsidRDefault="00EF55EB" w:rsidP="00EF55EB">
      <w:pPr>
        <w:rPr>
          <w:lang w:eastAsia="ko-KR"/>
        </w:rPr>
      </w:pPr>
      <w:r w:rsidRPr="00083FF3">
        <w:rPr>
          <w:lang w:eastAsia="ko-KR"/>
        </w:rP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To preserve confounding, these additional outcomes are sampled from predicted probabilities generated using a fitted predictive model. For each negative control outcome, three positive control outcomes will be generated with true relative risk is 1.5, 2, and 4. Using both negative and positive controls, we will fit a systematic error model and perform confidence interval calibration</w:t>
      </w:r>
      <w:r w:rsidR="00124943">
        <w:rPr>
          <w:lang w:eastAsia="ko-KR"/>
        </w:rPr>
        <w:t>.</w:t>
      </w:r>
      <w:r w:rsidR="00124943">
        <w:rPr>
          <w:lang w:eastAsia="ko-KR"/>
        </w:rPr>
        <w:fldChar w:fldCharType="begin"/>
      </w:r>
      <w:r w:rsidR="00787DE7">
        <w:rPr>
          <w:lang w:eastAsia="ko-KR"/>
        </w:rPr>
        <w:instrText xml:space="preserve"> ADDIN ZOTERO_ITEM CSL_CITATION {"citationID":"VM1oEUg0","properties":{"formattedCitation":"\\super 12\\nosupersub{}","plainCitation":"12","noteIndex":0},"citationItems":[{"id":2442,"uris":["http://zotero.org/users/1354749/items/YGFPNFNE"],"uri":["http://zotero.org/users/1354749/items/YGFPNFNE"],"itemData":{"id":2442,"type":"article-journal","title":"Empirical confidence interval calibration for population-level effect estimation studies in observational healthcare data","container-title":"Proceedings of the National Academy of Sciences","page":"2571-2577","volume":"115","issue":"11","source":"www.pnas.org","abstract":"Observational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studies.","DOI":"10.1073/pnas.1708282114","ISSN":"0027-8424, 1091-6490","note":"PMID: 29531023","journalAbbreviation":"PNAS","language":"en","author":[{"family":"Schuemie","given":"Martijn J."},{"family":"Hripcsak","given":"George"},{"family":"Ryan","given":"Patrick B."},{"family":"Madigan","given":"David"},{"family":"Suchard","given":"Marc A."}],"issued":{"date-parts":[["2018",3,13]]}}}],"schema":"https://github.com/citation-style-language/schema/raw/master/csl-citation.json"} </w:instrText>
      </w:r>
      <w:r w:rsidR="00124943">
        <w:rPr>
          <w:lang w:eastAsia="ko-KR"/>
        </w:rPr>
        <w:fldChar w:fldCharType="separate"/>
      </w:r>
      <w:r w:rsidR="00787DE7" w:rsidRPr="00787DE7">
        <w:rPr>
          <w:rFonts w:ascii="Calibri" w:cs="Calibri"/>
          <w:vertAlign w:val="superscript"/>
        </w:rPr>
        <w:t>12</w:t>
      </w:r>
      <w:r w:rsidR="00124943">
        <w:rPr>
          <w:lang w:eastAsia="ko-KR"/>
        </w:rPr>
        <w:fldChar w:fldCharType="end"/>
      </w:r>
    </w:p>
    <w:p w14:paraId="5367E7C1" w14:textId="77777777" w:rsidR="00EF55EB" w:rsidRDefault="00EF55EB" w:rsidP="0071318F"/>
    <w:p w14:paraId="383136E1" w14:textId="7765A2AF" w:rsidR="00EF55EB" w:rsidRDefault="00EF55EB" w:rsidP="00EF55EB">
      <w:pPr>
        <w:pStyle w:val="Heading2"/>
      </w:pPr>
      <w:r>
        <w:t>Covariates</w:t>
      </w:r>
    </w:p>
    <w:p w14:paraId="079EC37A" w14:textId="77777777" w:rsidR="00EF55EB" w:rsidRDefault="00EF55EB" w:rsidP="0071318F"/>
    <w:p w14:paraId="5BCF3B2E" w14:textId="1D1610AC" w:rsidR="0071318F" w:rsidRDefault="00B01E5F" w:rsidP="0071318F">
      <w:pPr>
        <w:pStyle w:val="Heading3"/>
      </w:pPr>
      <w:r>
        <w:t>Propensity score covariates</w:t>
      </w:r>
    </w:p>
    <w:p w14:paraId="6287F507" w14:textId="77777777" w:rsidR="00E2006F" w:rsidRPr="00FC16B4" w:rsidRDefault="00E2006F" w:rsidP="00E2006F">
      <w:pPr>
        <w:pStyle w:val="BodyText12"/>
        <w:rPr>
          <w:highlight w:val="white"/>
        </w:rPr>
      </w:pPr>
      <w:bookmarkStart w:id="14" w:name="_Toc470944220"/>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w:t>
      </w:r>
      <w:r w:rsidRPr="00FC16B4">
        <w:rPr>
          <w:highlight w:val="white"/>
        </w:rPr>
        <w:lastRenderedPageBreak/>
        <w:t xml:space="preserve">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R</w:t>
      </w:r>
      <w:r>
        <w:rPr>
          <w:rFonts w:eastAsia="Malgun Gothic"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P</w:t>
      </w:r>
      <w:r>
        <w:rPr>
          <w:rFonts w:eastAsia="Malgun Gothic"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 xml:space="preserve">n prior </w:t>
      </w:r>
      <w:r w:rsidR="007B1013">
        <w:rPr>
          <w:rFonts w:eastAsia="Malgun Gothic" w:cstheme="minorHAnsi"/>
          <w:color w:val="333333"/>
          <w:lang w:eastAsia="ko-KR"/>
        </w:rPr>
        <w:t>30</w:t>
      </w:r>
      <w:r>
        <w:rPr>
          <w:rFonts w:eastAsia="Malgun Gothic"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A</w:t>
      </w:r>
      <w:r>
        <w:rPr>
          <w:rFonts w:eastAsia="Malgun Gothic"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 xml:space="preserve">n prior </w:t>
      </w:r>
      <w:r w:rsidR="00C84A62">
        <w:rPr>
          <w:rFonts w:eastAsia="Malgun Gothic" w:cstheme="minorHAnsi"/>
          <w:color w:val="333333"/>
          <w:lang w:eastAsia="ko-KR"/>
        </w:rPr>
        <w:t>30</w:t>
      </w:r>
      <w:r>
        <w:rPr>
          <w:rFonts w:eastAsia="Malgun Gothic"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Malgun Gothic"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A</w:t>
      </w:r>
      <w:r>
        <w:rPr>
          <w:rFonts w:eastAsia="Malgun Gothic" w:cstheme="minorHAnsi"/>
          <w:color w:val="333333"/>
          <w:lang w:eastAsia="ko-KR"/>
        </w:rPr>
        <w:t>ggregated drug</w:t>
      </w:r>
      <w:r w:rsidR="00F5206A">
        <w:rPr>
          <w:rFonts w:eastAsia="Malgun Gothic" w:cstheme="minorHAnsi"/>
          <w:color w:val="333333"/>
          <w:lang w:eastAsia="ko-KR"/>
        </w:rPr>
        <w:t xml:space="preserve"> by </w:t>
      </w:r>
      <w:r w:rsidR="00FA1014">
        <w:rPr>
          <w:rFonts w:eastAsia="Malgun Gothic"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Malgun Gothic"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Malgun Gothic"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 xml:space="preserve">n prior </w:t>
      </w:r>
      <w:r w:rsidR="00FA2828">
        <w:rPr>
          <w:rFonts w:eastAsia="Malgun Gothic" w:cstheme="minorHAnsi"/>
          <w:color w:val="333333"/>
          <w:lang w:eastAsia="ko-KR"/>
        </w:rPr>
        <w:t>30</w:t>
      </w:r>
      <w:r>
        <w:rPr>
          <w:rFonts w:eastAsia="Malgun Gothic"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D</w:t>
      </w:r>
      <w:r>
        <w:rPr>
          <w:rFonts w:eastAsia="Malgun Gothic"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Malgun Gothic"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color w:val="333333"/>
          <w:lang w:eastAsia="ko-KR"/>
        </w:rPr>
        <w:t xml:space="preserve">In </w:t>
      </w:r>
      <w:r w:rsidR="005167E9">
        <w:rPr>
          <w:rFonts w:eastAsia="Malgun Gothic" w:cstheme="minorHAnsi"/>
          <w:color w:val="333333"/>
          <w:lang w:eastAsia="ko-KR"/>
        </w:rPr>
        <w:t>30</w:t>
      </w:r>
      <w:r>
        <w:rPr>
          <w:rFonts w:eastAsia="Malgun Gothic"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lastRenderedPageBreak/>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r>
        <w:t>Other variables</w:t>
      </w:r>
      <w:bookmarkEnd w:id="14"/>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r>
        <w:t>Data Analysis Plan</w:t>
      </w:r>
    </w:p>
    <w:p w14:paraId="5C71BC59" w14:textId="499317C3" w:rsidR="00301C31" w:rsidRDefault="00301C31" w:rsidP="0072249B">
      <w:pPr>
        <w:pStyle w:val="Heading2"/>
      </w:pPr>
      <w:r>
        <w:t>Calculation of time-at-risk</w:t>
      </w:r>
    </w:p>
    <w:p w14:paraId="4B5EBE40" w14:textId="77777777" w:rsidR="006F70F8" w:rsidRDefault="005C6C82" w:rsidP="00301C31">
      <w:pPr>
        <w:rPr>
          <w:lang w:eastAsia="ko-KR"/>
        </w:rPr>
      </w:pPr>
      <w:r>
        <w:rPr>
          <w:lang w:eastAsia="ko-KR"/>
        </w:rPr>
        <w:t>Primary analysis</w:t>
      </w:r>
    </w:p>
    <w:p w14:paraId="393045D1" w14:textId="6886E159" w:rsidR="00301C31" w:rsidRDefault="006F70F8" w:rsidP="00301C31">
      <w:pPr>
        <w:rPr>
          <w:lang w:eastAsia="ko-KR"/>
        </w:rPr>
      </w:pPr>
      <w:r>
        <w:rPr>
          <w:lang w:eastAsia="ko-KR"/>
        </w:rPr>
        <w:t>-One-year risk window: o</w:t>
      </w:r>
      <w:r w:rsidR="00301C31">
        <w:rPr>
          <w:lang w:eastAsia="ko-KR"/>
        </w:rPr>
        <w:t xml:space="preserve">utcome windows, or time-at-risk, for the primary analysis is </w:t>
      </w:r>
      <w:r>
        <w:rPr>
          <w:lang w:eastAsia="ko-KR"/>
        </w:rPr>
        <w:t xml:space="preserve">one year from the index date, </w:t>
      </w:r>
      <w:r w:rsidR="00301C31">
        <w:rPr>
          <w:lang w:eastAsia="ko-KR"/>
        </w:rPr>
        <w:t>defined</w:t>
      </w:r>
      <w:r>
        <w:rPr>
          <w:lang w:eastAsia="ko-KR"/>
        </w:rPr>
        <w:t xml:space="preserve"> as intent</w:t>
      </w:r>
      <w:r w:rsidR="002E38B8">
        <w:rPr>
          <w:lang w:eastAsia="ko-KR"/>
        </w:rPr>
        <w:t>-</w:t>
      </w:r>
      <w:r>
        <w:rPr>
          <w:lang w:eastAsia="ko-KR"/>
        </w:rPr>
        <w:t xml:space="preserve">to-treat manner to start 1 day after index date to 365 days after the index date. </w:t>
      </w:r>
    </w:p>
    <w:p w14:paraId="27CA9D38" w14:textId="07B6572E" w:rsidR="006F70F8" w:rsidRDefault="006F70F8" w:rsidP="00301C31">
      <w:pPr>
        <w:rPr>
          <w:lang w:eastAsia="ko-KR"/>
        </w:rPr>
      </w:pPr>
      <w:r>
        <w:rPr>
          <w:rFonts w:hint="eastAsia"/>
          <w:lang w:eastAsia="ko-KR"/>
        </w:rPr>
        <w:t>S</w:t>
      </w:r>
      <w:r>
        <w:rPr>
          <w:lang w:eastAsia="ko-KR"/>
        </w:rPr>
        <w:t>econdary analysis</w:t>
      </w:r>
    </w:p>
    <w:p w14:paraId="0D4F15FB" w14:textId="1AFAD4A3" w:rsidR="006F70F8" w:rsidRDefault="006F70F8" w:rsidP="006F70F8">
      <w:r>
        <w:rPr>
          <w:rFonts w:hint="eastAsia"/>
          <w:lang w:eastAsia="ko-KR"/>
        </w:rPr>
        <w:t>-</w:t>
      </w:r>
      <w:r>
        <w:rPr>
          <w:lang w:eastAsia="ko-KR"/>
        </w:rPr>
        <w:t xml:space="preserve">On-treatment risk window: to avoid time-dependent bias, on-treatment </w:t>
      </w:r>
      <w:r w:rsidR="00166B9B">
        <w:rPr>
          <w:lang w:eastAsia="ko-KR"/>
        </w:rPr>
        <w:t xml:space="preserve">risk </w:t>
      </w:r>
      <w:r>
        <w:rPr>
          <w:lang w:eastAsia="ko-KR"/>
        </w:rPr>
        <w:t>window was added,</w:t>
      </w:r>
      <w:r w:rsidR="00166B9B">
        <w:rPr>
          <w:lang w:eastAsia="ko-KR"/>
        </w:rPr>
        <w:t xml:space="preserve"> of</w:t>
      </w:r>
      <w:r>
        <w:rPr>
          <w:lang w:eastAsia="ko-KR"/>
        </w:rPr>
        <w:t xml:space="preserve"> which</w:t>
      </w:r>
      <w:r w:rsidR="00166B9B">
        <w:rPr>
          <w:lang w:eastAsia="ko-KR"/>
        </w:rPr>
        <w:t xml:space="preserve"> time-at-risk</w:t>
      </w:r>
      <w:r>
        <w:rPr>
          <w:lang w:eastAsia="ko-KR"/>
        </w:rPr>
        <w:t xml:space="preserve"> starts on treatment (ticagrelor or clopidogrel) initiation, and ends when the treatment ends. </w:t>
      </w:r>
    </w:p>
    <w:p w14:paraId="3EB17E38" w14:textId="5C7364F4" w:rsidR="00166B9B" w:rsidRDefault="006F70F8" w:rsidP="006F70F8">
      <w:pPr>
        <w:rPr>
          <w:lang w:eastAsia="ko-KR"/>
        </w:rPr>
      </w:pPr>
      <w:r>
        <w:rPr>
          <w:rFonts w:hint="eastAsia"/>
          <w:lang w:eastAsia="ko-KR"/>
        </w:rPr>
        <w:t>-</w:t>
      </w:r>
      <w:r w:rsidR="00166B9B">
        <w:rPr>
          <w:lang w:eastAsia="ko-KR"/>
        </w:rPr>
        <w:t>Five-year risk window</w:t>
      </w:r>
      <w:r>
        <w:rPr>
          <w:lang w:eastAsia="ko-KR"/>
        </w:rPr>
        <w:t xml:space="preserve">: </w:t>
      </w:r>
      <w:r w:rsidR="00162BA0">
        <w:rPr>
          <w:lang w:eastAsia="ko-KR"/>
        </w:rPr>
        <w:t xml:space="preserve">Five-year risk window starts from 1 day to 1825 days after index date, which is extended risk window from the one-year risk window.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r>
        <w:t>Model specification</w:t>
      </w:r>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xml:space="preserve">, until the earliest event among 1) the first occurrence of the outcome, 2) the end of the time-at-risk window, and </w:t>
      </w:r>
      <w:r w:rsidRPr="00FC16B4">
        <w:lastRenderedPageBreak/>
        <w:t>3) the end of the observation period that spans the time-at-risk start.</w:t>
      </w:r>
    </w:p>
    <w:p w14:paraId="314EF5E2" w14:textId="439B0931" w:rsidR="00B5097D" w:rsidRDefault="00624FC5" w:rsidP="00B5097D">
      <w:pPr>
        <w:pStyle w:val="Heading3"/>
      </w:pPr>
      <w:r>
        <w:t>Statistical model for p</w:t>
      </w:r>
      <w:r w:rsidR="00B5097D">
        <w:t>rimary analysis</w:t>
      </w:r>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759C38C3"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C50FDB">
        <w:fldChar w:fldCharType="begin"/>
      </w:r>
      <w:r w:rsidR="00787DE7">
        <w:instrText xml:space="preserve"> ADDIN ZOTERO_ITEM CSL_CITATION {"citationID":"OO0k3Iq3","properties":{"formattedCitation":"\\super 13\\nosupersub{}","plainCitation":"13","noteIndex":0},"citationItems":[{"id":1759,"uris":["http://zotero.org/users/1354749/items/F4BF5IV2"],"uri":["http://zotero.org/users/1354749/items/F4BF5IV2"],"itemData":{"id":1759,"type":"article-journal","title":"One-to-many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C50FDB">
        <w:fldChar w:fldCharType="separate"/>
      </w:r>
      <w:r w:rsidR="00787DE7" w:rsidRPr="00787DE7">
        <w:rPr>
          <w:rFonts w:ascii="Calibri" w:cs="Calibri"/>
          <w:vertAlign w:val="superscript"/>
        </w:rPr>
        <w:t>13</w:t>
      </w:r>
      <w:r w:rsidR="00C50FDB">
        <w:fldChar w:fldCharType="end"/>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r>
        <w:t>Statistical model for sensitivity analyses</w:t>
      </w:r>
    </w:p>
    <w:p w14:paraId="267B40A9" w14:textId="489D0A67" w:rsidR="00902F83" w:rsidRDefault="00902F83" w:rsidP="00902F83"/>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Heading3"/>
      </w:pPr>
      <w:r>
        <w:t>Additional details for interaction term analysis</w:t>
      </w:r>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203BC599" w:rsidR="008B5863" w:rsidRDefault="008B5863" w:rsidP="008B5863">
      <w:pPr>
        <w:pStyle w:val="ListParagraph"/>
        <w:numPr>
          <w:ilvl w:val="0"/>
          <w:numId w:val="16"/>
        </w:numPr>
        <w:rPr>
          <w:lang w:eastAsia="ko-KR"/>
        </w:rPr>
      </w:pPr>
      <w:r>
        <w:rPr>
          <w:lang w:eastAsia="ko-KR"/>
        </w:rPr>
        <w:t>Female gender</w:t>
      </w:r>
      <w:r w:rsidR="00E35937">
        <w:rPr>
          <w:lang w:eastAsia="ko-KR"/>
        </w:rPr>
        <w:fldChar w:fldCharType="begin"/>
      </w:r>
      <w:r w:rsidR="00787DE7">
        <w:rPr>
          <w:lang w:eastAsia="ko-KR"/>
        </w:rPr>
        <w:instrText xml:space="preserve"> ADDIN ZOTERO_ITEM CSL_CITATION {"citationID":"X0M7zwEK","properties":{"formattedCitation":"\\super 14\\nosupersub{}","plainCitation":"14","noteIndex":0},"citationItems":[{"id":2716,"uris":["http://zotero.org/users/1354749/items/3CR5DHQ7"],"uri":["http://zotero.org/users/1354749/items/3CR5DHQ7"],"itemData":{"id":2716,"type":"article-journal","title":"Incidence and predictors of bleeding in ACS patients treated with PCI and prasugrel or ticagrelor: An analysis from the RENAMI registry","container-title":"International Journal of Cardiology","page":"29-33","volume":"273","source":"ScienceDirect","abstract":"Objectives\nTo evaluate “real life” incidence and independent predictors of major bleeding defined in ACS patients treated with PCI and current standard antithrombotic therapy with prasugrel or ticagrelor.\nMethods and results\nThe RENAMI project is a multicenter retrospective observational registry enrolling 4424 patients with ACS treated with PCI and prasugrel or ticagrelor plus aspirin. Primary endpoint was MACE (major adverse cardiovascular events). Secondary endpoints included each component of MACE, cardiovascular death (CV death), recurrence of ACS (reACS) and stroke. Eighty three (1.8%) patients developed out of hospital major bleedings after 14.1 ± 6.2 months. These patients had higher rates of MACE (14.5% vs 4.4%; p = 0.001) and of all-cause death (11% vs 2.1%; p &lt; 0.001). Independent predictors of major bleeding were age &gt;75 years (OR 2.00; 95% CI 1.18–3.41; p = 0.010) and female sex (OR 1.66; 95% CI 1.02–2.70; p = 0.041). BARC 3–5 bleeding was independently associated with all-cause mortality (OR 3.46; 95% CI 1.64–7.31; p 0.001).\nConclusion\nIn ACS patients treated with PCI and ticagrelor or prasugrel, BARC 3–5 bleedings despite being uncommon negatively impacted on prognosis. Old and female patients are at increased risk, offering clinical indications for tailoring dual antiplatelet therapy.","DOI":"10.1016/j.ijcard.2018.09.020","ISSN":"0167-5273","shortTitle":"Incidence and predictors of bleeding in ACS patients treated with PCI and prasugrel or ticagrelor","journalAbbreviation":"International Journal of Cardiology","author":[{"family":"D'Ascenzo","given":"Fabrizio"},{"family":"Grosso","given":"Alberto"},{"family":"Abu-Assi","given":"Emad"},{"family":"Kinnaird","given":"Tim"},{"family":"Ariza-Solé","given":"Albert"},{"family":"Manzano-Fernández","given":"Sergio"},{"family":"Templin","given":"Christian"},{"family":"Velicki","given":"Lazar"},{"family":"Xanthopoulou","given":"Ioanna"},{"family":"Cerrato","given":"Enrico"},{"family":"Rognoni","given":"Andrea"},{"family":"Boccuzzi","given":"Giacomo"},{"family":"Omedè","given":"Pierluigi"},{"family":"Montabone","given":"Andrea"},{"family":"Taha","given":"Salma"},{"family":"Durante","given":"Alessandro"},{"family":"Gili","given":"Sebastiano"},{"family":"Ali","given":"Hosam Hasan"},{"family":"Magnani","given":"Giulia"},{"family":"Autelli","given":"Michele"},{"family":"Blanco","given":"Pedro Flores"},{"family":"Garay","given":"Alberto"},{"family":"Quadri","given":"Giorgio"},{"family":"Marra","given":"Walter Grosso"},{"family":"Varbella","given":"Ferdinando"},{"family":"Queija","given":"Berenice Caneiro"},{"family":"Paz","given":"Rafael Cobas"},{"family":"Fernández","given":"María Cespón"},{"family":"Pousa","given":"Isabel Muñoz"},{"family":"Gallo","given":"Diego"},{"family":"Morbiducci","given":"Umberto"},{"family":"Dominguez-Rodriguez","given":"Alberto"},{"family":"Valdés","given":"Mariano"},{"family":"Cequier","given":"Angel"},{"family":"Alexopoulos","given":"Dimitrios"},{"family":"Iñiguez-Romo","given":"Andrés"},{"family":"Gaita","given":"Fiorenzo"},{"family":"Raposeiras-Roubin","given":"Sergio"}],"issued":{"date-parts":[["2018",12,15]]}}}],"schema":"https://github.com/citation-style-language/schema/raw/master/csl-citation.json"} </w:instrText>
      </w:r>
      <w:r w:rsidR="00E35937">
        <w:rPr>
          <w:lang w:eastAsia="ko-KR"/>
        </w:rPr>
        <w:fldChar w:fldCharType="separate"/>
      </w:r>
      <w:r w:rsidR="00787DE7" w:rsidRPr="00787DE7">
        <w:rPr>
          <w:rFonts w:ascii="Calibri" w:cs="Calibri"/>
          <w:vertAlign w:val="superscript"/>
        </w:rPr>
        <w:t>14</w:t>
      </w:r>
      <w:r w:rsidR="00E35937">
        <w:rPr>
          <w:lang w:eastAsia="ko-KR"/>
        </w:rPr>
        <w:fldChar w:fldCharType="end"/>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4A4E1F9D"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B0317C">
        <w:rPr>
          <w:lang w:eastAsia="ko-KR"/>
        </w:rPr>
        <w:fldChar w:fldCharType="begin"/>
      </w:r>
      <w:r w:rsidR="00787DE7">
        <w:rPr>
          <w:lang w:eastAsia="ko-KR"/>
        </w:rPr>
        <w:instrText xml:space="preserve"> ADDIN ZOTERO_ITEM CSL_CITATION {"citationID":"v7XLXv28","properties":{"formattedCitation":"\\super 15\\nosupersub{}","plainCitation":"15","noteIndex":0},"citationItems":[{"id":7762,"uris":["http://zotero.org/users/1354749/items/BEG4PNZZ"],"uri":["http://zotero.org/users/1354749/items/BEG4PNZZ"],"itemData":{"id":7762,"type":"article-journal","title":"Ethnic variation in adverse cardiovascular outcomes and bleeding complications in the Clopidogrel for High Atherothrombotic Risk and Ischemic Stabilization, Management, and Avoidance (CHARISMA) study","container-title":"American Heart Journal","page":"658-665","volume":"157","issue":"4","source":"PubMed","abstract":"BACKGROUND: Atherothrombosis is a common condition affecting individuals worldwide. Its impact on different ethnic groups receiving evidence-based therapy is unclear. We aimed to determine if ethnicity is an independent predictor for cardiovascular events and bleeding complications in a contemporary clinical trial on antiplatelet therapy.\nMETHODS: This was a prospective observational study of 15,603 patients enrolled in the CHARISMA trial followed up every 6 months for a median of 28 months. The primary efficacy end point was the first occurrence of cardiovascular death, myocardial infarction, or stroke. The primary safety end point was bleeding.\nRESULTS: The cohort comprised 12,502 (80.1%) white, 486 (3.1%) black, 775 (5.0%) Asian, and 1,613 (10.3%) Hispanic patients. There was no difference in the occurrence of the primary composite end point among the 4 ethnic groups. Compared with Asians, cardiovascular and all-cause mortality occurred more frequently among black (adjusted hazard 2.19 and 2.04) and Hispanic (adjusted hazard, 1.83 and 1.69) patients. Although the occurrence of severe bleeding was similarly low among the 4 ethnic groups, Asian (adjusted hazard, 2.21) and black (adjusted hazard, 3.06) patients were more likely to have moderate bleeding complications than Hispanic patients.\nCONCLUSION: In this trial of individuals at risk of vascular events, ethnicity was not a significant, independent predictor of the primary composite cardiovascular event. However, ethnicity was a significant, independent predictor of the secondary outcomes, cardiovascular and all-cause mortality (blacks and Hispanics), and moderate bleeding complications (blacks and Asians).","DOI":"10.1016/j.ahj.2008.08.031","ISSN":"1097-6744","note":"PMID: 19332192","journalAbbreviation":"Am. Heart J.","language":"eng","author":[{"family":"Mak","given":"Koon-Hou"},{"family":"Bhatt","given":"Deepak L."},{"family":"Shao","given":"Mingyuan"},{"family":"Hankey","given":"Graeme J."},{"family":"Easton","given":"J. Donald"},{"family":"Fox","given":"Keith A. A."},{"family":"Topol","given":"Eric J."}],"issued":{"date-parts":[["2009",4]]}}}],"schema":"https://github.com/citation-style-language/schema/raw/master/csl-citation.json"} </w:instrText>
      </w:r>
      <w:r w:rsidR="00B0317C">
        <w:rPr>
          <w:lang w:eastAsia="ko-KR"/>
        </w:rPr>
        <w:fldChar w:fldCharType="separate"/>
      </w:r>
      <w:r w:rsidR="00787DE7" w:rsidRPr="00787DE7">
        <w:rPr>
          <w:rFonts w:ascii="Calibri" w:cs="Calibri"/>
          <w:vertAlign w:val="superscript"/>
        </w:rPr>
        <w:t>15</w:t>
      </w:r>
      <w:r w:rsidR="00B0317C">
        <w:rPr>
          <w:lang w:eastAsia="ko-KR"/>
        </w:rPr>
        <w:fldChar w:fldCharType="end"/>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08516DC1"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2601">
        <w:rPr>
          <w:lang w:eastAsia="ko-KR"/>
        </w:rPr>
        <w:fldChar w:fldCharType="begin"/>
      </w:r>
      <w:r w:rsidR="009551CD">
        <w:rPr>
          <w:lang w:eastAsia="ko-KR"/>
        </w:rPr>
        <w:instrText xml:space="preserve"> ADDIN ZOTERO_ITEM CSL_CITATION {"citationID":"JV9wc4M5","properties":{"formattedCitation":"\\super 10\\nosupersub{}","plainCitation":"10","noteIndex":0},"citationItems":[{"id":2642,"uris":["http://zotero.org/users/1354749/items/CTURYAH9"],"uri":["http://zotero.org/users/1354749/items/CTURYAH9"],"itemData":{"id":2642,"type":"article-journal","title":"Ticagrelor Compared With Clopidogrel by Geographic Region in the Platelet Inhibition and Patient Outcomes (PLATO) Trial","container-title":"Circulation","page":"544-554","volume":"124","issue":"5","source":"ahajournals.org (Atypon)","abstract":"Background—In the Platelet Inhibition and Patient Outcomes (PLATO) trial, a prespecified subgroup analysis showed a significant interaction between treatment and region (P=0.045), with less effect of ticagrelor in North America than in the rest of the world.Methods and Results—Reasons for the interaction were explored independently by 2 statistical groups. Systematic errors in trial conduct were investigated. Statistical approaches evaluated the likelihood of play of chance. Cox regression analyses were performed to quantify how much of the regional interaction could be explained by patient characteristics and concomitant treatments, including aspirin maintenance therapy. Landmark Cox regressions at 8 time points evaluated the association of selected factors, including aspirin dose, with outcomes by treatment. Systematic errors in trial conduct were ruled out. Given the large number of subgroup analyses performed and that a result numerically favoring clopidogrel in at least 1 of the 4 prespecified regions could occur with 32% probability, chance alone cannot be ruled out. More patients in the United States (53.6%) than in the rest of the world (1.7%) took a median asp</w:instrText>
      </w:r>
      <w:r w:rsidR="009551CD">
        <w:rPr>
          <w:rFonts w:hint="eastAsia"/>
          <w:lang w:eastAsia="ko-KR"/>
        </w:rPr>
        <w:instrText xml:space="preserve">irin dose </w:instrText>
      </w:r>
      <w:r w:rsidR="009551CD">
        <w:rPr>
          <w:rFonts w:hint="eastAsia"/>
          <w:lang w:eastAsia="ko-KR"/>
        </w:rPr>
        <w:instrText>≥</w:instrText>
      </w:r>
      <w:r w:rsidR="009551CD">
        <w:rPr>
          <w:rFonts w:hint="eastAsia"/>
          <w:lang w:eastAsia="ko-KR"/>
        </w:rPr>
        <w:instrText>300 mg/d. Of 37 baseline and postrandomization factors explored, only aspirin dose explained a substantial fraction of the regional interaction. In adjusted analyses, both Cox regression with median maintenance dose and landmark techniques show</w:instrText>
      </w:r>
      <w:r w:rsidR="009551CD">
        <w:rPr>
          <w:lang w:eastAsia="ko-KR"/>
        </w:rPr>
        <w:instrText xml:space="preserve">ed that, in patients taking low-dose maintenance aspirin, ticagrelor was associated with better outcomes compared with clopidogrel, with statistical superiority in the rest of the world and similar outcomes in the US cohort.Conclusions—The regional interaction could arise from chance alone. Results of 2 independently performed analyses identified an underlying statistical interaction with aspirin maintenance dose as a possible explanation for the regional difference. The lowest risk of cardiovascular death, myocardial infarction, or stroke with ticagrelor compared with clopidogrel is associated with a low maintenance dose of concomitant aspirin.Clinical Trial Registration—URL: http://www.clinicaltrials.gov. Unique identifier: NCT00391872.","DOI":"10.1161/CIRCULATIONAHA.111.047498","journalAbbreviation":"Circulation","author":[{"literal":"Mahaffey Kenneth W."},{"literal":"Wojdyla Daniel M."},{"literal":"Carroll Kevin"},{"literal":"Becker Richard C."},{"literal":"Storey Robert F."},{"literal":"Angiolillo Dominick J."},{"literal":"Held Claes"},{"literal":"Cannon Christopher P."},{"literal":"James Stefan"},{"literal":"Pieper Karen S."},{"literal":"Horrow Jay"},{"literal":"Harrington Robert A."},{"literal":"Wallentin Lars"}],"issued":{"date-parts":[["2011",8,2]]}}}],"schema":"https://github.com/citation-style-language/schema/raw/master/csl-citation.json"} </w:instrText>
      </w:r>
      <w:r w:rsidR="00952601">
        <w:rPr>
          <w:lang w:eastAsia="ko-KR"/>
        </w:rPr>
        <w:fldChar w:fldCharType="separate"/>
      </w:r>
      <w:r w:rsidR="009551CD" w:rsidRPr="009551CD">
        <w:rPr>
          <w:rFonts w:ascii="Calibri" w:cs="Calibri"/>
          <w:vertAlign w:val="superscript"/>
        </w:rPr>
        <w:t>10</w:t>
      </w:r>
      <w:r w:rsidR="00952601">
        <w:rPr>
          <w:lang w:eastAsia="ko-KR"/>
        </w:rPr>
        <w:fldChar w:fldCharType="end"/>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r>
        <w:t>Pooling effect estimates across databases</w:t>
      </w:r>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r>
        <w:lastRenderedPageBreak/>
        <w:t>Analyses to pe</w:t>
      </w:r>
      <w:r w:rsidR="00162BA0">
        <w:t>r</w:t>
      </w:r>
      <w:r>
        <w:t>form</w:t>
      </w:r>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032748B4"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3857C7A3"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 xml:space="preserve">+ 6x10 </w:t>
      </w:r>
      <w:r>
        <w:rPr>
          <w:lang w:eastAsia="ko-KR"/>
        </w:rPr>
        <w:t xml:space="preserve">= </w:t>
      </w:r>
      <w:r w:rsidR="00472842">
        <w:rPr>
          <w:lang w:eastAsia="ko-KR"/>
        </w:rPr>
        <w:t>42</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r>
        <w:t>Output</w:t>
      </w:r>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r>
        <w:t>Evidence Evaluation</w:t>
      </w:r>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lastRenderedPageBreak/>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77777777" w:rsidR="00AE6A05" w:rsidRDefault="00AE6A05" w:rsidP="00AE6A05">
      <w:pPr>
        <w:pStyle w:val="ListParagraph"/>
        <w:numPr>
          <w:ilvl w:val="0"/>
          <w:numId w:val="14"/>
        </w:numPr>
      </w:pPr>
      <w:r>
        <w:rPr>
          <w:rFonts w:hint="eastAsia"/>
          <w:lang w:eastAsia="ko-KR"/>
        </w:rPr>
        <w:t>N</w:t>
      </w:r>
      <w:r>
        <w:rPr>
          <w:lang w:eastAsia="ko-KR"/>
        </w:rPr>
        <w:t>egative and positive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03835CC1"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952601">
        <w:fldChar w:fldCharType="begin"/>
      </w:r>
      <w:r w:rsidR="00787DE7">
        <w:instrText xml:space="preserve"> ADDIN ZOTERO_ITEM CSL_CITATION {"citationID":"vQlQnJLQ","properties":{"formattedCitation":"\\super 16\\nosupersub{}","plainCitation":"16","noteIndex":0},"citationItems":[{"id":1800,"uris":["http://zotero.org/users/1354749/items/FNCRR27Z"],"uri":["http://zotero.org/users/1354749/items/FNCRR27Z"],"itemData":{"id":1800,"type":"article-journal","title":"Interpreting observational studies: why empirical calibration is needed to correct p-values","container-title":"Statistics in Medicine","page":"209-218","volume":"33","issue":"2","source":"Wiley Online Library","abstract":"Often the literature makes assertions of medical product effects on the basis of ‘ p &lt; 0.05’. The underlying premise is that at this threshold, there is only a 5% probability that the observed effect would be seen by chance when in reality there is no effect. In observational studies, much more than in randomized trials, bias and confounding may undermine this premise. To test this premise, we selected three exemplar drug safety studies from literature, representing a case–control, a cohort, and a self-controlled case series design. We attempted to replicate these studies as best we could for the drugs studied in the original articles. Next, we applied the same three designs to sets of negative controls: drugs that are not believed to cause the outcome of interest. We observed how often p &lt; 0.05 when the null hypothesis is true, and we fitted distributions to the effect estimates. Using these distributions, we compute calibrated p-values that reflect the probability of observing the effect estimate under the null hypothesis, taking both random and systematic error into account. An automated analysis of scientific literature was performed to evaluate the potential impact of such a calibration. Our experiment provides evidence that the majority of observational studies would declare statistical significance when no effect is present. Empirical calibration was found to reduce spurious results to the desired 5% level. Applying these adjustments to literature suggests that at least 54% of findings with p &lt; 0.05 are not actually statistically significant and should be reevaluated. © 2013 The Authors. Statistics in Medicine published by John Wiley &amp; Sons Ltd.","DOI":"10.1002/sim.5925","ISSN":"1097-0258","shortTitle":"Interpreting observational studies","journalAbbreviation":"Statist. Med.","language":"en","author":[{"family":"Schuemie","given":"Martijn J."},{"family":"Ryan","given":"Patrick B."},{"family":"DuMouchel","given":"William"},{"family":"Suchard","given":"Marc A."},{"family":"Madigan","given":"David"}],"issued":{"date-parts":[["2014",1,30]]}}}],"schema":"https://github.com/citation-style-language/schema/raw/master/csl-citation.json"} </w:instrText>
      </w:r>
      <w:r w:rsidR="00952601">
        <w:fldChar w:fldCharType="separate"/>
      </w:r>
      <w:r w:rsidR="00787DE7" w:rsidRPr="00787DE7">
        <w:rPr>
          <w:rFonts w:ascii="Calibri" w:cs="Calibri"/>
          <w:vertAlign w:val="superscript"/>
        </w:rPr>
        <w:t>16</w:t>
      </w:r>
      <w:r w:rsidR="00952601">
        <w:fldChar w:fldCharType="end"/>
      </w:r>
      <w:r>
        <w:t xml:space="preserve"> </w:t>
      </w:r>
    </w:p>
    <w:p w14:paraId="3D62EF2E" w14:textId="10F7B8F9" w:rsidR="00AE6A05" w:rsidRDefault="00AE6A05" w:rsidP="00AE6A05">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952601">
        <w:fldChar w:fldCharType="begin"/>
      </w:r>
      <w:r w:rsidR="00787DE7">
        <w:instrText xml:space="preserve"> ADDIN ZOTERO_ITEM CSL_CITATION {"citationID":"fp9J0DYi","properties":{"formattedCitation":"\\super 12\\nosupersub{}","plainCitation":"12","noteIndex":0},"citationItems":[{"id":2442,"uris":["http://zotero.org/users/1354749/items/YGFPNFNE"],"uri":["http://zotero.org/users/1354749/items/YGFPNFNE"],"itemData":{"id":2442,"type":"article-journal","title":"Empirical confidence interval calibration for population-level effect estimation studies in observational healthcare data","container-title":"Proceedings of the National Academy of Sciences","page":"2571-2577","volume":"115","issue":"11","source":"www.pnas.org","abstract":"Observational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studies.","DOI":"10.1073/pnas.1708282114","ISSN":"0027-8424, 1091-6490","note":"PMID: 29531023","journalAbbreviation":"PNAS","language":"en","author":[{"family":"Schuemie","given":"Martijn J."},{"family":"Hripcsak","given":"George"},{"family":"Ryan","given":"Patrick B."},{"family":"Madigan","given":"David"},{"family":"Suchard","given":"Marc A."}],"issued":{"date-parts":[["2018",3,13]]}}}],"schema":"https://github.com/citation-style-language/schema/raw/master/csl-citation.json"} </w:instrText>
      </w:r>
      <w:r w:rsidR="00952601">
        <w:fldChar w:fldCharType="separate"/>
      </w:r>
      <w:r w:rsidR="00787DE7" w:rsidRPr="00787DE7">
        <w:rPr>
          <w:rFonts w:ascii="Calibri" w:cs="Calibri"/>
          <w:vertAlign w:val="superscript"/>
        </w:rPr>
        <w:t>12</w:t>
      </w:r>
      <w:r w:rsidR="00952601">
        <w:fldChar w:fldCharType="end"/>
      </w:r>
      <w:r>
        <w:t xml:space="preserve"> </w:t>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15" w:name="_Toc470944221"/>
      <w:r>
        <w:t>Data Sources</w:t>
      </w:r>
      <w:bookmarkEnd w:id="15"/>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16" w:name="_Toc470944223"/>
      <w:r>
        <w:t>Quality control</w:t>
      </w:r>
      <w:bookmarkEnd w:id="16"/>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lastRenderedPageBreak/>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17" w:name="_Toc470944224"/>
      <w:r w:rsidRPr="0054294D">
        <w:t xml:space="preserve">Strengths and </w:t>
      </w:r>
      <w:r>
        <w:t>Limitations of the Research M</w:t>
      </w:r>
      <w:r w:rsidRPr="0054294D">
        <w:t>ethods</w:t>
      </w:r>
      <w:bookmarkEnd w:id="17"/>
    </w:p>
    <w:p w14:paraId="7FC67FA4" w14:textId="77777777" w:rsidR="00112C4C" w:rsidRDefault="00112C4C" w:rsidP="00112C4C">
      <w:bookmarkStart w:id="18" w:name="_Toc470944225"/>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5B1FEE7D" w:rsidR="00112C4C" w:rsidRDefault="00112C4C" w:rsidP="006D3346">
      <w:pPr>
        <w:pStyle w:val="ListParagraph"/>
        <w:numPr>
          <w:ilvl w:val="0"/>
          <w:numId w:val="5"/>
        </w:numPr>
      </w:pPr>
      <w:r>
        <w:t xml:space="preserve">Use of negative </w:t>
      </w:r>
      <w:r w:rsidR="004A394D">
        <w:t xml:space="preserve">and positive 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r>
        <w:t>Protection of Human Subjects</w:t>
      </w:r>
      <w:bookmarkEnd w:id="18"/>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19" w:name="_Toc470944226"/>
      <w:r>
        <w:t>Plans for Disseminating and Communicating Study Results</w:t>
      </w:r>
      <w:bookmarkEnd w:id="19"/>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20" w:name="_Toc470944227"/>
      <w:r>
        <w:lastRenderedPageBreak/>
        <w:t>References</w:t>
      </w:r>
      <w:bookmarkEnd w:id="20"/>
    </w:p>
    <w:p w14:paraId="195056FE" w14:textId="77777777" w:rsidR="009551CD" w:rsidRPr="009551CD" w:rsidRDefault="00706337" w:rsidP="009551CD">
      <w:pPr>
        <w:pStyle w:val="Bibliography"/>
        <w:rPr>
          <w:rFonts w:ascii="Calibri" w:cs="Calibri"/>
        </w:rPr>
      </w:pPr>
      <w:r>
        <w:fldChar w:fldCharType="begin"/>
      </w:r>
      <w:r w:rsidR="009551CD">
        <w:instrText xml:space="preserve"> ADDIN ZOTERO_BIBL {"uncited":[],"omitted":[],"custom":[]} CSL_BIBLIOGRAPHY </w:instrText>
      </w:r>
      <w:r>
        <w:fldChar w:fldCharType="separate"/>
      </w:r>
      <w:r w:rsidR="009551CD" w:rsidRPr="009551CD">
        <w:rPr>
          <w:rFonts w:ascii="Calibri" w:cs="Calibri"/>
        </w:rPr>
        <w:t>1.</w:t>
      </w:r>
      <w:r w:rsidR="009551CD" w:rsidRPr="009551CD">
        <w:rPr>
          <w:rFonts w:ascii="Calibri" w:cs="Calibri"/>
        </w:rPr>
        <w:tab/>
        <w:t xml:space="preserve">Levine, G. N. </w:t>
      </w:r>
      <w:r w:rsidR="009551CD" w:rsidRPr="009551CD">
        <w:rPr>
          <w:rFonts w:ascii="Calibri" w:cs="Calibri"/>
          <w:i/>
          <w:iCs/>
        </w:rPr>
        <w:t>et al.</w:t>
      </w:r>
      <w:r w:rsidR="009551CD"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9551CD" w:rsidRPr="009551CD">
        <w:rPr>
          <w:rFonts w:ascii="Calibri" w:cs="Calibri"/>
          <w:i/>
          <w:iCs/>
        </w:rPr>
        <w:t>J. Am. Coll. Cardiol.</w:t>
      </w:r>
      <w:r w:rsidR="009551CD" w:rsidRPr="009551CD">
        <w:rPr>
          <w:rFonts w:ascii="Calibri" w:cs="Calibri"/>
        </w:rPr>
        <w:t xml:space="preserve"> </w:t>
      </w:r>
      <w:r w:rsidR="009551CD" w:rsidRPr="009551CD">
        <w:rPr>
          <w:rFonts w:ascii="Calibri" w:cs="Calibri"/>
          <w:b/>
          <w:bCs/>
        </w:rPr>
        <w:t>68</w:t>
      </w:r>
      <w:r w:rsidR="009551CD"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t xml:space="preserve">Valgimigli,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t xml:space="preserve">Wallentin,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Am. J. Cardiol.</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t xml:space="preserve">Misumida, N., Aoi, S., Kim, S. M., Ziada, K. M. &amp; Abdel-Latif, A. Ticagrelor versus clopidogrel in East Asian patients with acute coronary syndrome: Systematic review and meta-analysis. </w:t>
      </w:r>
      <w:r w:rsidRPr="009551CD">
        <w:rPr>
          <w:rFonts w:ascii="Calibri" w:cs="Calibri"/>
          <w:i/>
          <w:iCs/>
        </w:rPr>
        <w:t>Cardiovasc. Revasc.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t xml:space="preserve">Sahlén,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lastRenderedPageBreak/>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With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t xml:space="preserve">Rassen, J. A. </w:t>
      </w:r>
      <w:r w:rsidRPr="009551CD">
        <w:rPr>
          <w:rFonts w:ascii="Calibri" w:cs="Calibri"/>
          <w:i/>
          <w:iCs/>
        </w:rPr>
        <w:t>et al.</w:t>
      </w:r>
      <w:r w:rsidRPr="009551CD">
        <w:rPr>
          <w:rFonts w:ascii="Calibri" w:cs="Calibri"/>
        </w:rPr>
        <w:t xml:space="preserve"> One-to-many propensity score matching in cohort studies. </w:t>
      </w:r>
      <w:r w:rsidRPr="009551CD">
        <w:rPr>
          <w:rFonts w:ascii="Calibri" w:cs="Calibri"/>
          <w:i/>
          <w:iCs/>
        </w:rPr>
        <w:t>Pharmacoepidemiol. Drug Saf.</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t xml:space="preserve">D’Ascenzo,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Int. J. Cardiol.</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t xml:space="preserve">Mak,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DuMouchel,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3B85F9C4" w:rsidR="006D5E44" w:rsidRDefault="00706337" w:rsidP="0062771D">
      <w:pPr>
        <w:spacing w:line="360" w:lineRule="auto"/>
      </w:pPr>
      <w:r>
        <w:fldChar w:fldCharType="end"/>
      </w:r>
    </w:p>
    <w:sectPr w:rsidR="006D5E44"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9436D" w14:textId="77777777" w:rsidR="007B3871" w:rsidRDefault="007B3871" w:rsidP="0074593E">
      <w:pPr>
        <w:spacing w:after="0" w:line="240" w:lineRule="auto"/>
      </w:pPr>
      <w:r>
        <w:separator/>
      </w:r>
    </w:p>
  </w:endnote>
  <w:endnote w:type="continuationSeparator" w:id="0">
    <w:p w14:paraId="4C8D6087" w14:textId="77777777" w:rsidR="007B3871" w:rsidRDefault="007B3871"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auto"/>
    <w:pitch w:val="variable"/>
    <w:sig w:usb0="A00002EF" w:usb1="4000207B" w:usb2="00000000" w:usb3="00000000" w:csb0="FFFFFF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645E6E" w:rsidRDefault="00645E6E">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7FE7" w14:textId="77777777" w:rsidR="007B3871" w:rsidRDefault="007B3871" w:rsidP="0074593E">
      <w:pPr>
        <w:spacing w:after="0" w:line="240" w:lineRule="auto"/>
      </w:pPr>
      <w:r>
        <w:separator/>
      </w:r>
    </w:p>
  </w:footnote>
  <w:footnote w:type="continuationSeparator" w:id="0">
    <w:p w14:paraId="542DFC9E" w14:textId="77777777" w:rsidR="007B3871" w:rsidRDefault="007B3871"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645E6E" w:rsidRDefault="00645E6E">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317D9"/>
    <w:multiLevelType w:val="hybridMultilevel"/>
    <w:tmpl w:val="1CBE06B8"/>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11"/>
  </w:num>
  <w:num w:numId="5">
    <w:abstractNumId w:val="0"/>
  </w:num>
  <w:num w:numId="6">
    <w:abstractNumId w:val="15"/>
  </w:num>
  <w:num w:numId="7">
    <w:abstractNumId w:val="16"/>
  </w:num>
  <w:num w:numId="8">
    <w:abstractNumId w:val="8"/>
  </w:num>
  <w:num w:numId="9">
    <w:abstractNumId w:val="1"/>
  </w:num>
  <w:num w:numId="10">
    <w:abstractNumId w:val="3"/>
  </w:num>
  <w:num w:numId="11">
    <w:abstractNumId w:val="9"/>
  </w:num>
  <w:num w:numId="12">
    <w:abstractNumId w:val="4"/>
  </w:num>
  <w:num w:numId="13">
    <w:abstractNumId w:val="7"/>
  </w:num>
  <w:num w:numId="14">
    <w:abstractNumId w:val="12"/>
  </w:num>
  <w:num w:numId="15">
    <w:abstractNumId w:val="5"/>
  </w:num>
  <w:num w:numId="16">
    <w:abstractNumId w:val="2"/>
  </w:num>
  <w:num w:numId="17">
    <w:abstractNumId w:val="22"/>
  </w:num>
  <w:num w:numId="18">
    <w:abstractNumId w:val="18"/>
  </w:num>
  <w:num w:numId="19">
    <w:abstractNumId w:val="6"/>
  </w:num>
  <w:num w:numId="20">
    <w:abstractNumId w:val="19"/>
  </w:num>
  <w:num w:numId="21">
    <w:abstractNumId w:val="21"/>
  </w:num>
  <w:num w:numId="22">
    <w:abstractNumId w:val="20"/>
  </w:num>
  <w:num w:numId="2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129D"/>
    <w:rsid w:val="0006204B"/>
    <w:rsid w:val="00064DE3"/>
    <w:rsid w:val="00067659"/>
    <w:rsid w:val="0007323D"/>
    <w:rsid w:val="000741F5"/>
    <w:rsid w:val="000820C2"/>
    <w:rsid w:val="00082D4F"/>
    <w:rsid w:val="00083FF3"/>
    <w:rsid w:val="00091B3E"/>
    <w:rsid w:val="0009249C"/>
    <w:rsid w:val="0009329C"/>
    <w:rsid w:val="00094171"/>
    <w:rsid w:val="000A0FEC"/>
    <w:rsid w:val="000A44DF"/>
    <w:rsid w:val="000B416F"/>
    <w:rsid w:val="000C59CF"/>
    <w:rsid w:val="000C5F53"/>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21440"/>
    <w:rsid w:val="00124943"/>
    <w:rsid w:val="001430B5"/>
    <w:rsid w:val="00153673"/>
    <w:rsid w:val="001542F2"/>
    <w:rsid w:val="00157C17"/>
    <w:rsid w:val="00157F8D"/>
    <w:rsid w:val="00162BA0"/>
    <w:rsid w:val="00166B9B"/>
    <w:rsid w:val="00167004"/>
    <w:rsid w:val="00176A9A"/>
    <w:rsid w:val="00180C7D"/>
    <w:rsid w:val="00180D6B"/>
    <w:rsid w:val="001846CB"/>
    <w:rsid w:val="00184A2F"/>
    <w:rsid w:val="001A291F"/>
    <w:rsid w:val="001A4A28"/>
    <w:rsid w:val="001C06B0"/>
    <w:rsid w:val="001C6EF1"/>
    <w:rsid w:val="001D1EA9"/>
    <w:rsid w:val="001D2E89"/>
    <w:rsid w:val="001D7368"/>
    <w:rsid w:val="001E1169"/>
    <w:rsid w:val="001E1EF6"/>
    <w:rsid w:val="001E3220"/>
    <w:rsid w:val="001E5B62"/>
    <w:rsid w:val="001F1712"/>
    <w:rsid w:val="00204413"/>
    <w:rsid w:val="00205E40"/>
    <w:rsid w:val="00213CF5"/>
    <w:rsid w:val="00213E80"/>
    <w:rsid w:val="00213F40"/>
    <w:rsid w:val="00217089"/>
    <w:rsid w:val="002221E8"/>
    <w:rsid w:val="002261ED"/>
    <w:rsid w:val="00226DD5"/>
    <w:rsid w:val="002406D5"/>
    <w:rsid w:val="00240C40"/>
    <w:rsid w:val="0024120F"/>
    <w:rsid w:val="00251097"/>
    <w:rsid w:val="00251647"/>
    <w:rsid w:val="00254B76"/>
    <w:rsid w:val="002610B2"/>
    <w:rsid w:val="0026480A"/>
    <w:rsid w:val="00266E89"/>
    <w:rsid w:val="00283B70"/>
    <w:rsid w:val="002842D9"/>
    <w:rsid w:val="00284F94"/>
    <w:rsid w:val="00290637"/>
    <w:rsid w:val="00292F94"/>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322DA"/>
    <w:rsid w:val="00332E9D"/>
    <w:rsid w:val="003374CF"/>
    <w:rsid w:val="00342A5C"/>
    <w:rsid w:val="003463E1"/>
    <w:rsid w:val="00346FF3"/>
    <w:rsid w:val="0035094B"/>
    <w:rsid w:val="00354C2C"/>
    <w:rsid w:val="003641BC"/>
    <w:rsid w:val="00364646"/>
    <w:rsid w:val="003654C3"/>
    <w:rsid w:val="0037436A"/>
    <w:rsid w:val="00376F03"/>
    <w:rsid w:val="00380A8A"/>
    <w:rsid w:val="00381412"/>
    <w:rsid w:val="003815F9"/>
    <w:rsid w:val="00396739"/>
    <w:rsid w:val="003A3F1C"/>
    <w:rsid w:val="003A48BF"/>
    <w:rsid w:val="003A7244"/>
    <w:rsid w:val="003C673A"/>
    <w:rsid w:val="003C6E46"/>
    <w:rsid w:val="003D317B"/>
    <w:rsid w:val="003E153B"/>
    <w:rsid w:val="003E2970"/>
    <w:rsid w:val="003E41DD"/>
    <w:rsid w:val="003E7DD0"/>
    <w:rsid w:val="003F2A9A"/>
    <w:rsid w:val="003F5091"/>
    <w:rsid w:val="003F63CA"/>
    <w:rsid w:val="00401126"/>
    <w:rsid w:val="0040297A"/>
    <w:rsid w:val="00410363"/>
    <w:rsid w:val="004126C8"/>
    <w:rsid w:val="00413DAC"/>
    <w:rsid w:val="00414EDA"/>
    <w:rsid w:val="00415406"/>
    <w:rsid w:val="00417EEE"/>
    <w:rsid w:val="004227AE"/>
    <w:rsid w:val="00423CDE"/>
    <w:rsid w:val="00431DA7"/>
    <w:rsid w:val="004362E5"/>
    <w:rsid w:val="00444A4E"/>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3862"/>
    <w:rsid w:val="004B444E"/>
    <w:rsid w:val="004B73CA"/>
    <w:rsid w:val="004C12E6"/>
    <w:rsid w:val="004C2A2F"/>
    <w:rsid w:val="004C74C9"/>
    <w:rsid w:val="004D43F5"/>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B15B0"/>
    <w:rsid w:val="005B1DB3"/>
    <w:rsid w:val="005B4230"/>
    <w:rsid w:val="005B78B9"/>
    <w:rsid w:val="005C0D00"/>
    <w:rsid w:val="005C209F"/>
    <w:rsid w:val="005C59C9"/>
    <w:rsid w:val="005C607D"/>
    <w:rsid w:val="005C6C82"/>
    <w:rsid w:val="005D02C1"/>
    <w:rsid w:val="005D03C2"/>
    <w:rsid w:val="005D07C6"/>
    <w:rsid w:val="005D4B29"/>
    <w:rsid w:val="005E354C"/>
    <w:rsid w:val="005E614C"/>
    <w:rsid w:val="005F40A5"/>
    <w:rsid w:val="005F4BB2"/>
    <w:rsid w:val="0060380A"/>
    <w:rsid w:val="0061199C"/>
    <w:rsid w:val="00617901"/>
    <w:rsid w:val="0062116D"/>
    <w:rsid w:val="00621E7B"/>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33E0"/>
    <w:rsid w:val="006C3F33"/>
    <w:rsid w:val="006D1E30"/>
    <w:rsid w:val="006D3346"/>
    <w:rsid w:val="006D5E44"/>
    <w:rsid w:val="006E36A5"/>
    <w:rsid w:val="006E50F5"/>
    <w:rsid w:val="006F70F8"/>
    <w:rsid w:val="0070266B"/>
    <w:rsid w:val="00706337"/>
    <w:rsid w:val="00706740"/>
    <w:rsid w:val="00706CDE"/>
    <w:rsid w:val="0071036B"/>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E75ED"/>
    <w:rsid w:val="007F34FD"/>
    <w:rsid w:val="007F6A8B"/>
    <w:rsid w:val="00801CCF"/>
    <w:rsid w:val="00815E60"/>
    <w:rsid w:val="008232F6"/>
    <w:rsid w:val="0082494C"/>
    <w:rsid w:val="008267B0"/>
    <w:rsid w:val="00832CB5"/>
    <w:rsid w:val="008347AE"/>
    <w:rsid w:val="008449DA"/>
    <w:rsid w:val="00845040"/>
    <w:rsid w:val="008478AE"/>
    <w:rsid w:val="00851A7E"/>
    <w:rsid w:val="00852545"/>
    <w:rsid w:val="00860A92"/>
    <w:rsid w:val="00873736"/>
    <w:rsid w:val="00874C00"/>
    <w:rsid w:val="008762D1"/>
    <w:rsid w:val="00876FB9"/>
    <w:rsid w:val="00881883"/>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5589"/>
    <w:rsid w:val="009C2B13"/>
    <w:rsid w:val="009C7230"/>
    <w:rsid w:val="009D029E"/>
    <w:rsid w:val="009D100D"/>
    <w:rsid w:val="009D45C8"/>
    <w:rsid w:val="009D4796"/>
    <w:rsid w:val="009D7181"/>
    <w:rsid w:val="009E1D60"/>
    <w:rsid w:val="009E3CCD"/>
    <w:rsid w:val="009E4907"/>
    <w:rsid w:val="009F19A8"/>
    <w:rsid w:val="00A01683"/>
    <w:rsid w:val="00A01D39"/>
    <w:rsid w:val="00A01E4C"/>
    <w:rsid w:val="00A01EEA"/>
    <w:rsid w:val="00A05607"/>
    <w:rsid w:val="00A05DFF"/>
    <w:rsid w:val="00A0722D"/>
    <w:rsid w:val="00A134F3"/>
    <w:rsid w:val="00A176EE"/>
    <w:rsid w:val="00A201D8"/>
    <w:rsid w:val="00A21D49"/>
    <w:rsid w:val="00A26520"/>
    <w:rsid w:val="00A273EE"/>
    <w:rsid w:val="00A4049A"/>
    <w:rsid w:val="00A40668"/>
    <w:rsid w:val="00A42B5A"/>
    <w:rsid w:val="00A431E4"/>
    <w:rsid w:val="00A51784"/>
    <w:rsid w:val="00A52232"/>
    <w:rsid w:val="00A57501"/>
    <w:rsid w:val="00A60413"/>
    <w:rsid w:val="00A65279"/>
    <w:rsid w:val="00A65697"/>
    <w:rsid w:val="00A66531"/>
    <w:rsid w:val="00A711D8"/>
    <w:rsid w:val="00A71A73"/>
    <w:rsid w:val="00A75406"/>
    <w:rsid w:val="00A7574F"/>
    <w:rsid w:val="00A76763"/>
    <w:rsid w:val="00A8384D"/>
    <w:rsid w:val="00A851C8"/>
    <w:rsid w:val="00A9089F"/>
    <w:rsid w:val="00A90C5A"/>
    <w:rsid w:val="00AA2B7A"/>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B008C2"/>
    <w:rsid w:val="00B00987"/>
    <w:rsid w:val="00B01E5F"/>
    <w:rsid w:val="00B0317C"/>
    <w:rsid w:val="00B0550F"/>
    <w:rsid w:val="00B10D0B"/>
    <w:rsid w:val="00B11D82"/>
    <w:rsid w:val="00B143E4"/>
    <w:rsid w:val="00B14DDC"/>
    <w:rsid w:val="00B15EDA"/>
    <w:rsid w:val="00B20BD3"/>
    <w:rsid w:val="00B35379"/>
    <w:rsid w:val="00B46B1E"/>
    <w:rsid w:val="00B5097D"/>
    <w:rsid w:val="00B620A2"/>
    <w:rsid w:val="00B65A8B"/>
    <w:rsid w:val="00B70E7F"/>
    <w:rsid w:val="00B73EF1"/>
    <w:rsid w:val="00B73FB8"/>
    <w:rsid w:val="00B746D7"/>
    <w:rsid w:val="00B90378"/>
    <w:rsid w:val="00B92C3E"/>
    <w:rsid w:val="00B93DB8"/>
    <w:rsid w:val="00B95E03"/>
    <w:rsid w:val="00BB1928"/>
    <w:rsid w:val="00BB6C16"/>
    <w:rsid w:val="00BC555E"/>
    <w:rsid w:val="00BC66AC"/>
    <w:rsid w:val="00BD061A"/>
    <w:rsid w:val="00BD1C3F"/>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2E44"/>
    <w:rsid w:val="00C46455"/>
    <w:rsid w:val="00C50102"/>
    <w:rsid w:val="00C50FDB"/>
    <w:rsid w:val="00C51C99"/>
    <w:rsid w:val="00C559A6"/>
    <w:rsid w:val="00C570B9"/>
    <w:rsid w:val="00C63169"/>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E669E"/>
    <w:rsid w:val="00CF2E19"/>
    <w:rsid w:val="00CF681F"/>
    <w:rsid w:val="00D060EC"/>
    <w:rsid w:val="00D06406"/>
    <w:rsid w:val="00D10C3F"/>
    <w:rsid w:val="00D1412F"/>
    <w:rsid w:val="00D1584C"/>
    <w:rsid w:val="00D16BB4"/>
    <w:rsid w:val="00D21BF3"/>
    <w:rsid w:val="00D23A5D"/>
    <w:rsid w:val="00D27351"/>
    <w:rsid w:val="00D33B3F"/>
    <w:rsid w:val="00D4325D"/>
    <w:rsid w:val="00D443E4"/>
    <w:rsid w:val="00D46B01"/>
    <w:rsid w:val="00D50EB1"/>
    <w:rsid w:val="00D5347A"/>
    <w:rsid w:val="00D610FF"/>
    <w:rsid w:val="00D66604"/>
    <w:rsid w:val="00D707F4"/>
    <w:rsid w:val="00D733A1"/>
    <w:rsid w:val="00D74740"/>
    <w:rsid w:val="00D757C9"/>
    <w:rsid w:val="00D87DC1"/>
    <w:rsid w:val="00DA11C4"/>
    <w:rsid w:val="00DA136C"/>
    <w:rsid w:val="00DA5BC8"/>
    <w:rsid w:val="00DA6923"/>
    <w:rsid w:val="00DB060F"/>
    <w:rsid w:val="00DB494B"/>
    <w:rsid w:val="00DB5201"/>
    <w:rsid w:val="00DC14EF"/>
    <w:rsid w:val="00DF07EE"/>
    <w:rsid w:val="00DF6BC7"/>
    <w:rsid w:val="00E01F56"/>
    <w:rsid w:val="00E04705"/>
    <w:rsid w:val="00E13C4E"/>
    <w:rsid w:val="00E15776"/>
    <w:rsid w:val="00E2006F"/>
    <w:rsid w:val="00E25E4C"/>
    <w:rsid w:val="00E27704"/>
    <w:rsid w:val="00E31C72"/>
    <w:rsid w:val="00E321CF"/>
    <w:rsid w:val="00E33DB6"/>
    <w:rsid w:val="00E35937"/>
    <w:rsid w:val="00E36432"/>
    <w:rsid w:val="00E40B10"/>
    <w:rsid w:val="00E511A6"/>
    <w:rsid w:val="00E5549E"/>
    <w:rsid w:val="00E5611D"/>
    <w:rsid w:val="00E61242"/>
    <w:rsid w:val="00E6555A"/>
    <w:rsid w:val="00E7012A"/>
    <w:rsid w:val="00E70AC8"/>
    <w:rsid w:val="00E74D7E"/>
    <w:rsid w:val="00E774FE"/>
    <w:rsid w:val="00E8643B"/>
    <w:rsid w:val="00E9416A"/>
    <w:rsid w:val="00E946A9"/>
    <w:rsid w:val="00EA3A77"/>
    <w:rsid w:val="00EA5E71"/>
    <w:rsid w:val="00EA6E35"/>
    <w:rsid w:val="00EC6819"/>
    <w:rsid w:val="00ED5C5A"/>
    <w:rsid w:val="00EE379E"/>
    <w:rsid w:val="00EE506E"/>
    <w:rsid w:val="00EE73B8"/>
    <w:rsid w:val="00EF05FD"/>
    <w:rsid w:val="00EF0FFF"/>
    <w:rsid w:val="00EF3BDA"/>
    <w:rsid w:val="00EF4EDE"/>
    <w:rsid w:val="00EF55EB"/>
    <w:rsid w:val="00EF774F"/>
    <w:rsid w:val="00F03C01"/>
    <w:rsid w:val="00F05D4D"/>
    <w:rsid w:val="00F061B7"/>
    <w:rsid w:val="00F13993"/>
    <w:rsid w:val="00F20F0A"/>
    <w:rsid w:val="00F21F69"/>
    <w:rsid w:val="00F2745F"/>
    <w:rsid w:val="00F3357B"/>
    <w:rsid w:val="00F341F8"/>
    <w:rsid w:val="00F34920"/>
    <w:rsid w:val="00F36BDD"/>
    <w:rsid w:val="00F37716"/>
    <w:rsid w:val="00F42E2E"/>
    <w:rsid w:val="00F46162"/>
    <w:rsid w:val="00F500CC"/>
    <w:rsid w:val="00F50DCE"/>
    <w:rsid w:val="00F51C1E"/>
    <w:rsid w:val="00F5206A"/>
    <w:rsid w:val="00F56947"/>
    <w:rsid w:val="00F579FE"/>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16EC"/>
    <w:rsid w:val="00FE254B"/>
    <w:rsid w:val="00FE2F14"/>
    <w:rsid w:val="00FE4BD2"/>
    <w:rsid w:val="00FE53A1"/>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65212-ED7E-7045-B9BE-0BB1D693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22</Pages>
  <Words>14419</Words>
  <Characters>82189</Characters>
  <Application>Microsoft Office Word</Application>
  <DocSecurity>0</DocSecurity>
  <Lines>684</Lines>
  <Paragraphs>192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96416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114</cp:revision>
  <dcterms:created xsi:type="dcterms:W3CDTF">2019-02-27T09:48:00Z</dcterms:created>
  <dcterms:modified xsi:type="dcterms:W3CDTF">2019-03-03T11:27:00Z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id="tlRkjEz7"/&gt;&lt;style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