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17 September 2026 12:36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Thursday, 17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180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180 CVEs (32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155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(6 CRITICAL, 51 HIGH, 85 MEDIUM, 68 UNKNOWN).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NVD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10.0 from NVD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INFERRED from vendor impact text - no published score exists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NVD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NVD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NVD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INFERRED from vendor impact text - no published score exists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(1 CRITICAL, 152 UNKNOWN).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CVE-2022-3437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CVE-2026-28899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CVE-2026-43677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CVE-2026-43737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CVE-2026-43741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CVE-2026-43743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(82 UNKNOWN). Highest severity: UNKNOWN.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CVE-2026-43737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CVE-2026-43743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(126 UNKNOWN). Highest severity: UNKNOWN.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CVE-2026-43737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CVE-2026-43738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(154 UNKNOWN). Highest severity: UNKNOWN.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CVE-2022-3437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CVE-2026-28899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CVE-2026-43677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CVE-2026-43737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CVE-2026-43741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