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PII Redaction Test Document</w:t>
      </w:r>
    </w:p>
    <w:p>
      <w:pPr>
        <w:spacing w:after="100"/>
      </w:pPr>
      <w:r>
        <w:t xml:space="preserve">This document is a synthetic fixture built to exercise every PII category and a set of known false-positive traps for evaluating a redaction pipeline. No real personal data is contained here.</w:t>
      </w:r>
    </w:p>
    <w:p>
      <w:pPr>
        <w:pStyle w:val="Heading1"/>
        <w:spacing w:after="150" w:before="300"/>
      </w:pPr>
      <w:r>
        <w:t xml:space="preserve">1. Standard PII — Should Always Be Detected</w:t>
      </w:r>
    </w:p>
    <w:p>
      <w:pPr>
        <w:pStyle w:val="Heading2"/>
        <w:spacing w:after="100" w:before="200"/>
      </w:pPr>
      <w:r>
        <w:t xml:space="preserve">1.1 Names</w:t>
      </w:r>
    </w:p>
    <w:p>
      <w:pPr>
        <w:spacing w:after="100"/>
      </w:pPr>
      <w:r>
        <w:t xml:space="preserve">Client: Rohan Dey. Secondary contact: Rashi Patil. Case handled by attorney Vikram Aditya Seth on behalf of the estate of Dr. Meenakshi Subramaniam.</w:t>
      </w:r>
    </w:p>
    <w:p>
      <w:pPr>
        <w:spacing w:after="100"/>
      </w:pPr>
      <w:r>
        <w:t xml:space="preserve">Primary contact for this account is </w:t>
      </w:r>
      <w:r>
        <w:rPr>
          <w:b/>
          <w:bCs/>
        </w:rPr>
        <w:t xml:space="preserve">Rai</w:t>
      </w:r>
      <w:r>
        <w:rPr>
          <w:i/>
          <w:iCs/>
        </w:rPr>
        <w:t xml:space="preserve">sh</w:t>
      </w:r>
      <w:r>
        <w:t xml:space="preserve">a Krishnamurthy</w:t>
      </w:r>
      <w:r>
        <w:t xml:space="preserve">, who can be reached for escalations.</w:t>
      </w:r>
    </w:p>
    <w:p>
      <w:pPr>
        <w:spacing w:after="100"/>
      </w:pPr>
      <w:r>
        <w:t xml:space="preserve">Referenced again later: please cc Rohan Dey on all correspondence — his colleague Rashi Patil should be copied as well, to test that repeated mentions of the same person map to the same fake replacement.</w:t>
      </w:r>
    </w:p>
    <w:p>
      <w:pPr>
        <w:pStyle w:val="Heading2"/>
        <w:spacing w:after="100" w:before="200"/>
      </w:pPr>
      <w:r>
        <w:t xml:space="preserve">1.2 Emails</w:t>
      </w:r>
    </w:p>
    <w:p>
      <w:pPr>
        <w:spacing w:after="100"/>
      </w:pPr>
      <w:r>
        <w:t xml:space="preserve">Primary: rashhi.patil@gmail.com. Secondary: rohan.dey+billing@gmail.com. Work address: v.seth@sethandassociates.co.in.</w:t>
      </w:r>
    </w:p>
    <w:p>
      <w:pPr>
        <w:pStyle w:val="Heading2"/>
        <w:spacing w:after="100" w:before="200"/>
      </w:pPr>
      <w:r>
        <w:t xml:space="preserve">1.3 Phone Numbers</w:t>
      </w:r>
    </w:p>
    <w:p>
      <w:pPr>
        <w:spacing w:after="100"/>
      </w:pPr>
      <w:r>
        <w:t xml:space="preserve">Mobile (India): +91 9876543210. Landline with extension: 080-2345-6789 ext. 214. US format: (415) 555-0192. Written with dots: 91.98765.43210.</w:t>
      </w:r>
    </w:p>
    <w:p>
      <w:pPr>
        <w:pStyle w:val="Heading2"/>
        <w:spacing w:after="100" w:before="200"/>
      </w:pPr>
      <w:r>
        <w:t xml:space="preserve">1.4 Company / Organization Names</w:t>
      </w:r>
    </w:p>
    <w:p>
      <w:pPr>
        <w:spacing w:after="100"/>
      </w:pPr>
      <w:r>
        <w:t xml:space="preserve">Employed by Acme Technologies Pvt Ltd. Vendor contract held with Sethand Associates LLP. Consulting engagement with Northfield Labs Inc.</w:t>
      </w:r>
    </w:p>
    <w:p>
      <w:pPr>
        <w:pStyle w:val="Heading2"/>
        <w:spacing w:after="100" w:before="200"/>
      </w:pPr>
      <w:r>
        <w:t xml:space="preserve">1.5 Physical / Mailing Addresses</w:t>
      </w:r>
    </w:p>
    <w:p>
      <w:pPr>
        <w:spacing w:after="100"/>
      </w:pPr>
      <w:r>
        <w:t xml:space="preserve">Registered address: 42 MG Road, Koramangala, Bengaluru, Karnataka 560034, India. Mailing address: 221B Baker Street, London, NW1 6XE, United Kingdom.</w:t>
      </w:r>
    </w:p>
    <w:p>
      <w:pPr>
        <w:pStyle w:val="Heading2"/>
        <w:spacing w:after="100" w:before="200"/>
      </w:pPr>
      <w:r>
        <w:t xml:space="preserve">1.6 Social Security Numbers / National IDs</w:t>
      </w:r>
    </w:p>
    <w:p>
      <w:pPr>
        <w:spacing w:after="100"/>
      </w:pPr>
      <w:r>
        <w:t xml:space="preserve">SSN on file: 342-67-9081. Aadhaar number: 4521 8890 1123.</w:t>
      </w:r>
    </w:p>
    <w:p>
      <w:pPr>
        <w:pStyle w:val="Heading2"/>
        <w:spacing w:after="100" w:before="200"/>
      </w:pPr>
      <w:r>
        <w:t xml:space="preserve">1.7 Credit Card Numbers</w:t>
      </w:r>
    </w:p>
    <w:p>
      <w:pPr>
        <w:spacing w:after="100"/>
      </w:pPr>
      <w:r>
        <w:t xml:space="preserve">Card on file (Luhn-valid Visa test number): 4539 1488 0343 6467. Second card (Luhn-valid Mastercard test number): 5425 2334 3010 9903.</w:t>
      </w:r>
    </w:p>
    <w:p>
      <w:pPr>
        <w:pStyle w:val="Heading2"/>
        <w:spacing w:after="100" w:before="200"/>
      </w:pPr>
      <w:r>
        <w:t xml:space="preserve">1.8 Dates of Birth</w:t>
      </w:r>
    </w:p>
    <w:p>
      <w:pPr>
        <w:spacing w:after="100"/>
      </w:pPr>
      <w:r>
        <w:t xml:space="preserve">Date of birth: 14th March 1994. DOB: 07/22/1988. Born on 3 Nov 2001, according to the submitted documents.</w:t>
      </w:r>
    </w:p>
    <w:p>
      <w:pPr>
        <w:pStyle w:val="Heading2"/>
        <w:spacing w:after="100" w:before="200"/>
      </w:pPr>
      <w:r>
        <w:t xml:space="preserve">1.9 IP Addresses</w:t>
      </w:r>
    </w:p>
    <w:p>
      <w:pPr>
        <w:spacing w:after="100"/>
      </w:pPr>
      <w:r>
        <w:t xml:space="preserve">Last login recorded from IP 203.0.113.47. VPN exit node: 198.51.100.23. Internal server: 10.0.4.19.</w:t>
      </w:r>
    </w:p>
    <w:p>
      <w:pPr>
        <w:pStyle w:val="Heading1"/>
        <w:spacing w:after="150" w:before="300"/>
      </w:pPr>
      <w:r>
        <w:t xml:space="preserve">2. Table-Embedded PII (tests table/cell extraction)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D9D9D9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17"/>
            <w:shd w:fill="D9D9D9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3117"/>
            <w:shd w:fill="D9D9D9" w:val="clear"/>
          </w:tcPr>
          <w:p>
            <w:r>
              <w:rPr>
                <w:b/>
                <w:bCs/>
              </w:rPr>
              <w:t xml:space="preserve">Phone</w:t>
            </w:r>
          </w:p>
        </w:tc>
      </w:tr>
      <w:tr>
        <w:tc>
          <w:tcPr>
            <w:tcW w:type="dxa" w:w="3117"/>
          </w:tcPr>
          <w:p>
            <w:r>
              <w:t xml:space="preserve">Kavya Nair</w:t>
            </w:r>
          </w:p>
        </w:tc>
        <w:tc>
          <w:tcPr>
            <w:tcW w:type="dxa" w:w="3117"/>
          </w:tcPr>
          <w:p>
            <w:r>
              <w:t xml:space="preserve">kavya.nair@example.org</w:t>
            </w:r>
          </w:p>
        </w:tc>
        <w:tc>
          <w:tcPr>
            <w:tcW w:type="dxa" w:w="3117"/>
          </w:tcPr>
          <w:p>
            <w:r>
              <w:t xml:space="preserve">+91 9123456780</w:t>
            </w:r>
          </w:p>
        </w:tc>
      </w:tr>
      <w:tr>
        <w:tc>
          <w:tcPr>
            <w:tcW w:type="dxa" w:w="3117"/>
          </w:tcPr>
          <w:p>
            <w:r>
              <w:t xml:space="preserve">Imran Qureshi</w:t>
            </w:r>
          </w:p>
        </w:tc>
        <w:tc>
          <w:tcPr>
            <w:tcW w:type="dxa" w:w="3117"/>
          </w:tcPr>
          <w:p>
            <w:r>
              <w:t xml:space="preserve">imran.q@example.org</w:t>
            </w:r>
          </w:p>
        </w:tc>
        <w:tc>
          <w:tcPr>
            <w:tcW w:type="dxa" w:w="3117"/>
          </w:tcPr>
          <w:p>
            <w:r>
              <w:t xml:space="preserve">+91 8899001122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False-Positive Traps — Should NOT Be Flagged</w:t>
      </w:r>
    </w:p>
    <w:p>
      <w:pPr>
        <w:spacing w:after="100"/>
      </w:pPr>
      <w:r>
        <w:t xml:space="preserve">The following are deliberately adjacent to real PII in style but are NOT personal data. A precise system should leave every line below untouched.</w:t>
      </w:r>
    </w:p>
    <w:p>
      <w:pPr>
        <w:pStyle w:val="Heading2"/>
        <w:spacing w:after="100" w:before="200"/>
      </w:pPr>
      <w:r>
        <w:t xml:space="preserve">3.1 Reference / Order / Ticket Numbers (look like SSNs, cards, or phones)</w:t>
      </w:r>
    </w:p>
    <w:p>
      <w:pPr>
        <w:spacing w:after="100"/>
      </w:pPr>
      <w:r>
        <w:t xml:space="preserve">Order 123456. Ticket 78901. Invoice 445566. Reference 2026-08-13. PO Number 900214. Case ID 342679081 (same digit count as an SSN but no dash formatting and no personal context).</w:t>
      </w:r>
    </w:p>
    <w:p>
      <w:pPr>
        <w:pStyle w:val="Heading2"/>
        <w:spacing w:after="100" w:before="200"/>
      </w:pPr>
      <w:r>
        <w:t xml:space="preserve">3.2 Amounts, Not Card or Account Numbers</w:t>
      </w:r>
    </w:p>
    <w:p>
      <w:pPr>
        <w:spacing w:after="100"/>
      </w:pPr>
      <w:r>
        <w:t xml:space="preserve">Total amount due: ₹25,000. Subtotal: $4,539.14. Balance carried forward: 8890.11.</w:t>
      </w:r>
    </w:p>
    <w:p>
      <w:pPr>
        <w:pStyle w:val="Heading2"/>
        <w:spacing w:after="100" w:before="200"/>
      </w:pPr>
      <w:r>
        <w:t xml:space="preserve">3.3 Dates That Are Not DOBs</w:t>
      </w:r>
    </w:p>
    <w:p>
      <w:pPr>
        <w:spacing w:after="100"/>
      </w:pPr>
      <w:r>
        <w:t xml:space="preserve">Meeting scheduled for 14 March 2026. Contract effective 07/22/2026. Report submitted 3 Nov 2025. Fiscal year ends March 2026.</w:t>
      </w:r>
    </w:p>
    <w:p>
      <w:pPr>
        <w:pStyle w:val="Heading2"/>
        <w:spacing w:after="100" w:before="200"/>
      </w:pPr>
      <w:r>
        <w:t xml:space="preserve">3.4 Version Numbers and Non-PII Numeric Patterns (IP-shaped but not IPs)</w:t>
      </w:r>
    </w:p>
    <w:p>
      <w:pPr>
        <w:spacing w:after="100"/>
      </w:pPr>
      <w:r>
        <w:t xml:space="preserve">Software version 4.5.6.7. Build number 192.168.999.1 (invalid octet range, not a real IP). Product SKU 10.0.256.4.</w:t>
      </w:r>
    </w:p>
    <w:p>
      <w:pPr>
        <w:pStyle w:val="Heading2"/>
        <w:spacing w:after="100" w:before="200"/>
      </w:pPr>
      <w:r>
        <w:t xml:space="preserve">3.5 Section-Header-Style Lines and Standalone Capitalized Words</w:t>
      </w:r>
    </w:p>
    <w:p>
      <w:pPr>
        <w:spacing w:after="100"/>
      </w:pPr>
      <w:r>
        <w:t xml:space="preserve">TECHNICAL SKILLS. PROJECTS. EDUCATION. Soft Skills: Problem Solving, Adaptability, Quick Learner, Team Player.</w:t>
      </w:r>
    </w:p>
    <w:p>
      <w:pPr>
        <w:pStyle w:val="Heading2"/>
        <w:spacing w:after="100" w:before="200"/>
      </w:pPr>
      <w:r>
        <w:t xml:space="preserve">3.6 Product, Framework, and Tool Names (capitalized, name-shaped)</w:t>
      </w:r>
    </w:p>
    <w:p>
      <w:pPr>
        <w:spacing w:after="100"/>
      </w:pPr>
      <w:r>
        <w:t xml:space="preserve">Built using Spring Boot, React, Node.js, and Gemini AI. Deployed on AWS using Docker and Nginx. Data pipeline built with Apache Kafka.</w:t>
      </w:r>
    </w:p>
    <w:p>
      <w:pPr>
        <w:pStyle w:val="Heading2"/>
        <w:spacing w:after="100" w:before="200"/>
      </w:pPr>
      <w:r>
        <w:t xml:space="preserve">3.7 Company Names Without Legal Suffix / Ambiguous Cases</w:t>
      </w:r>
    </w:p>
    <w:p>
      <w:pPr>
        <w:spacing w:after="100"/>
      </w:pPr>
      <w:r>
        <w:t xml:space="preserve">Reviewed competitor Apple. Compared pricing against Google and Amazon. Partnered informally with Momentum (no legal entity suffix given).</w:t>
      </w:r>
    </w:p>
    <w:p>
      <w:pPr>
        <w:pStyle w:val="Heading2"/>
        <w:spacing w:after="100" w:before="200"/>
      </w:pPr>
      <w:r>
        <w:t xml:space="preserve">3.8 Bare Place Names (no street/pin-code — should not be flagged as an address)</w:t>
      </w:r>
    </w:p>
    <w:p>
      <w:pPr>
        <w:spacing w:after="100"/>
      </w:pPr>
      <w:r>
        <w:t xml:space="preserve">Office located in New York. Second office in Bengaluru. Registered in Delaware. Team distributed across Telangana and Maharashtra.</w:t>
      </w:r>
    </w:p>
    <w:p>
      <w:pPr>
        <w:pStyle w:val="Heading2"/>
        <w:spacing w:after="100" w:before="200"/>
      </w:pPr>
      <w:r>
        <w:t xml:space="preserve">3.9 Names That Look Like Companies, and Companies That Look Like Names</w:t>
      </w:r>
    </w:p>
    <w:p>
      <w:pPr>
        <w:spacing w:after="100"/>
      </w:pPr>
      <w:r>
        <w:t xml:space="preserve">Client Morgan Freeman Consulting (a two-person consultancy, not the actor). Vendor named Grace Hopper Technologies. Individual contractor named Sterling Cooper (a person, not the ad agency).</w:t>
      </w:r>
    </w:p>
    <w:p>
      <w:pPr>
        <w:pStyle w:val="Heading2"/>
        <w:spacing w:after="100" w:before="200"/>
      </w:pPr>
      <w:r>
        <w:t xml:space="preserve">3.10 Month Names and Temporal Words Standalone</w:t>
      </w:r>
    </w:p>
    <w:p>
      <w:pPr>
        <w:spacing w:after="100"/>
      </w:pPr>
      <w:r>
        <w:t xml:space="preserve">Training completed: Jan '23 - Present. Certification earned Nov '25. Program ran May '26 - Jun '26.</w:t>
      </w:r>
    </w:p>
    <w:p>
      <w:pPr>
        <w:pStyle w:val="Heading1"/>
        <w:spacing w:after="150" w:before="300"/>
      </w:pPr>
      <w:r>
        <w:t xml:space="preserve">4. Mixed / Ambiguous Lines (judgment calls — document your system's choice)</w:t>
      </w:r>
    </w:p>
    <w:p>
      <w:pPr>
        <w:spacing w:after="100"/>
      </w:pPr>
      <w:r>
        <w:t xml:space="preserve">Dr. Sarah Chen, MD, referred the patient (Sarah Chen appears twice more below in unrelated contexts as a common name collision test: a street is named Sarah Chen Boulevard in an unrelated city).</w:t>
      </w:r>
    </w:p>
    <w:p>
      <w:pPr>
        <w:spacing w:after="100"/>
      </w:pPr>
      <w:r>
        <w:t xml:space="preserve">Contact support at support@acmetechnologies.com (a role-based/company email, not clearly one individual).</w:t>
      </w:r>
    </w:p>
    <w:p>
      <w:pPr>
        <w:spacing w:after="100"/>
      </w:pPr>
      <w:r>
        <w:t xml:space="preserve">Server accessible at admin@10.0.4.19 style malformed address (edge case: email-shaped string containing what looks like an IP).</w:t>
      </w:r>
    </w:p>
    <w:p>
      <w:pPr>
        <w:pStyle w:val="Heading1"/>
        <w:spacing w:after="150" w:before="300"/>
      </w:pPr>
      <w:r>
        <w:t xml:space="preserve">5. Repeated Entity Consistency Check</w:t>
      </w:r>
    </w:p>
    <w:p>
      <w:pPr>
        <w:spacing w:after="100"/>
      </w:pPr>
      <w:r>
        <w:t xml:space="preserve">Rohan Dey signed the agreement on 07/22/1988 using card 4539 1488 0343 6467, the same card and DOB referenced in section 1. The replacement values generated here must exactly match the replacement values generated in section 1 for Rohan Dey, the DOB, and the card number.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Document Owner: Devraj Malhotra | Direct: +1-415-555-0192 |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16"/>
        <w:szCs w:val="16"/>
      </w:rPr>
      <w:t xml:space="preserve">CONFIDENTIAL — Prepared for Ananya Bhatt (ananya.bhatt@northfield-labs.com)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2026-08-14T03:54:59.892Z</dcterms:created>
  <dcterms:modified xsi:type="dcterms:W3CDTF">2026-08-14T03:54:59.905Z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