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B6E62"/>
          <w:spacing w:val="30"/>
          <w:sz w:val="15"/>
          <w:szCs w:val="15"/>
        </w:rPr>
        <w:t xml:space="preserve">PROGRESS UPDATE</w:t>
      </w:r>
    </w:p>
    <w:p>
      <w:pPr>
        <w:spacing w:after="140"/>
      </w:pPr>
      <w:r>
        <w:rPr>
          <w:b/>
          <w:bCs/>
          <w:color w:val="0F1A1C"/>
          <w:sz w:val="46"/>
          <w:szCs w:val="46"/>
        </w:rPr>
        <w:t xml:space="preserve">VittaGems Settlement Rail</w:t>
      </w:r>
    </w:p>
    <w:p>
      <w:pPr>
        <w:spacing w:after="120" w:line="300"/>
      </w:pPr>
      <w:r>
        <w:rPr>
          <w:color w:val="37474B"/>
          <w:sz w:val="22"/>
          <w:szCs w:val="22"/>
        </w:rPr>
        <w:t xml:space="preserve">The private blockchain network and the settlement API are built and running end to end. Work is now on the settlement-rail smart contracts, which add DAO approval and proof-of-payment to the mint and burn flows.</w:t>
      </w:r>
    </w:p>
    <w:p>
      <w:pPr>
        <w:pBdr>
          <w:bottom w:val="single" w:color="0F1A1C" w:sz="12" w:space="10"/>
        </w:pBdr>
        <w:spacing w:after="60"/>
      </w:pPr>
      <w:r>
        <w:rPr>
          <w:color w:val="5F7175"/>
          <w:sz w:val="16"/>
          <w:szCs w:val="16"/>
        </w:rPr>
        <w:t xml:space="preserve">Quorum chainId 7001    ·    Demo: Swagger + integrator portal</w:t>
      </w:r>
    </w:p>
    <w:p>
      <w:pPr>
        <w:spacing w:after="140" w:before="3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4980"/>
      </w:tblGrid>
      <w:tr>
        <w:tc>
          <w:tcPr>
            <w:tcW w:type="dxa" w:w="2900"/>
            <w:tcBorders>
              <w:top w:val="single" w:color="DCE5E5" w:sz="4"/>
              <w:left w:val="single" w:color="DCE5E5" w:sz="4"/>
              <w:bottom w:val="single" w:color="DCE5E5" w:sz="4"/>
              <w:right w:val="single" w:color="DC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1A1C"/>
                <w:sz w:val="21"/>
                <w:szCs w:val="21"/>
              </w:rPr>
              <w:t xml:space="preserve">Quorum network</w:t>
            </w:r>
          </w:p>
        </w:tc>
        <w:tc>
          <w:tcPr>
            <w:tcW w:type="dxa" w:w="2200"/>
            <w:tcBorders>
              <w:top w:val="single" w:color="DCE5E5" w:sz="4"/>
              <w:left w:val="single" w:color="DCE5E5" w:sz="4"/>
              <w:bottom w:val="single" w:color="DCE5E5" w:sz="4"/>
              <w:right w:val="single" w:color="DCE5E5" w:sz="4"/>
            </w:tcBorders>
            <w:shd w:fill="D9EF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B7A4B"/>
                <w:sz w:val="17"/>
                <w:szCs w:val="17"/>
              </w:rPr>
              <w:t xml:space="preserve">LIVE</w:t>
            </w:r>
          </w:p>
        </w:tc>
        <w:tc>
          <w:tcPr>
            <w:tcW w:type="dxa" w:w="4980"/>
            <w:tcBorders>
              <w:top w:val="single" w:color="DCE5E5" w:sz="4"/>
              <w:left w:val="single" w:color="DCE5E5" w:sz="4"/>
              <w:bottom w:val="single" w:color="DCE5E5" w:sz="4"/>
              <w:right w:val="single" w:color="DC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7474B"/>
                <w:sz w:val="20"/>
                <w:szCs w:val="20"/>
              </w:rPr>
              <w:t xml:space="preserve">6-node permissioned chain running under Docker.</w:t>
            </w:r>
          </w:p>
        </w:tc>
      </w:tr>
      <w:tr>
        <w:tc>
          <w:tcPr>
            <w:tcW w:type="dxa" w:w="2900"/>
            <w:tcBorders>
              <w:top w:val="single" w:color="DCE5E5" w:sz="4"/>
              <w:left w:val="single" w:color="DCE5E5" w:sz="4"/>
              <w:bottom w:val="single" w:color="DCE5E5" w:sz="4"/>
              <w:right w:val="single" w:color="DC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1A1C"/>
                <w:sz w:val="21"/>
                <w:szCs w:val="21"/>
              </w:rPr>
              <w:t xml:space="preserve">Backend &amp; API</w:t>
            </w:r>
          </w:p>
        </w:tc>
        <w:tc>
          <w:tcPr>
            <w:tcW w:type="dxa" w:w="2200"/>
            <w:tcBorders>
              <w:top w:val="single" w:color="DCE5E5" w:sz="4"/>
              <w:left w:val="single" w:color="DCE5E5" w:sz="4"/>
              <w:bottom w:val="single" w:color="DCE5E5" w:sz="4"/>
              <w:right w:val="single" w:color="DCE5E5" w:sz="4"/>
            </w:tcBorders>
            <w:shd w:fill="D9EF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B7A4B"/>
                <w:sz w:val="17"/>
                <w:szCs w:val="17"/>
              </w:rPr>
              <w:t xml:space="preserve">LIVE</w:t>
            </w:r>
          </w:p>
        </w:tc>
        <w:tc>
          <w:tcPr>
            <w:tcW w:type="dxa" w:w="4980"/>
            <w:tcBorders>
              <w:top w:val="single" w:color="DCE5E5" w:sz="4"/>
              <w:left w:val="single" w:color="DCE5E5" w:sz="4"/>
              <w:bottom w:val="single" w:color="DCE5E5" w:sz="4"/>
              <w:right w:val="single" w:color="DC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7474B"/>
                <w:sz w:val="20"/>
                <w:szCs w:val="20"/>
              </w:rPr>
              <w:t xml:space="preserve">Settlement API, workers and Swagger docs complete and tested.</w:t>
            </w:r>
          </w:p>
        </w:tc>
      </w:tr>
      <w:tr>
        <w:tc>
          <w:tcPr>
            <w:tcW w:type="dxa" w:w="2900"/>
            <w:tcBorders>
              <w:top w:val="single" w:color="DCE5E5" w:sz="4"/>
              <w:left w:val="single" w:color="DCE5E5" w:sz="4"/>
              <w:bottom w:val="single" w:color="DCE5E5" w:sz="4"/>
              <w:right w:val="single" w:color="DC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F1A1C"/>
                <w:sz w:val="21"/>
                <w:szCs w:val="21"/>
              </w:rPr>
              <w:t xml:space="preserve">Settlement contracts</w:t>
            </w:r>
          </w:p>
        </w:tc>
        <w:tc>
          <w:tcPr>
            <w:tcW w:type="dxa" w:w="2200"/>
            <w:tcBorders>
              <w:top w:val="single" w:color="DCE5E5" w:sz="4"/>
              <w:left w:val="single" w:color="DCE5E5" w:sz="4"/>
              <w:bottom w:val="single" w:color="DCE5E5" w:sz="4"/>
              <w:right w:val="single" w:color="DCE5E5" w:sz="4"/>
            </w:tcBorders>
            <w:shd w:fill="F6E7C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A6410"/>
                <w:sz w:val="17"/>
                <w:szCs w:val="17"/>
              </w:rPr>
              <w:t xml:space="preserve">IN DEVELOPMENT</w:t>
            </w:r>
          </w:p>
        </w:tc>
        <w:tc>
          <w:tcPr>
            <w:tcW w:type="dxa" w:w="4980"/>
            <w:tcBorders>
              <w:top w:val="single" w:color="DCE5E5" w:sz="4"/>
              <w:left w:val="single" w:color="DCE5E5" w:sz="4"/>
              <w:bottom w:val="single" w:color="DCE5E5" w:sz="4"/>
              <w:right w:val="single" w:color="DC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7474B"/>
                <w:sz w:val="20"/>
                <w:szCs w:val="20"/>
              </w:rPr>
              <w:t xml:space="preserve">DAO approval and proof-of-payment layer, in progress this week.</w:t>
            </w:r>
          </w:p>
        </w:tc>
      </w:tr>
    </w:tbl>
    <w:p>
      <w:pPr>
        <w:pBdr>
          <w:bottom w:val="single" w:color="C4D2D3" w:sz="6" w:space="6"/>
        </w:pBdr>
        <w:spacing w:after="140" w:before="380"/>
      </w:pPr>
      <w:r>
        <w:rPr>
          <w:b/>
          <w:bCs/>
          <w:color w:val="0F1A1C"/>
          <w:sz w:val="27"/>
          <w:szCs w:val="27"/>
        </w:rPr>
        <w:t xml:space="preserve">Completed</w:t>
      </w:r>
      <w:r>
        <w:rPr>
          <w:color w:val="5F7175"/>
          <w:sz w:val="16"/>
          <w:szCs w:val="16"/>
        </w:rPr>
        <w:t xml:space="preserve">    running today</w:t>
      </w:r>
    </w:p>
    <w:p>
      <w:pPr>
        <w:spacing w:after="70" w:before="200"/>
      </w:pPr>
      <w:r>
        <w:rPr>
          <w:b/>
          <w:bCs/>
          <w:color w:val="5F7175"/>
          <w:spacing w:val="25"/>
          <w:sz w:val="15"/>
          <w:szCs w:val="15"/>
        </w:rPr>
        <w:t xml:space="preserve">BLOCKCHAIN INFRASTRUCTURE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6-node Quorum network under Docker</w:t>
      </w:r>
      <w:r>
        <w:rPr>
          <w:color w:val="37474B"/>
          <w:sz w:val="21"/>
          <w:szCs w:val="21"/>
        </w:rPr>
        <w:t xml:space="preserve"> — 3 validators, 2 RPC nodes and a bootnode, IBFT consensus, zero-gas.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Permissioning enforced on-chain</w:t>
      </w:r>
      <w:r>
        <w:rPr>
          <w:color w:val="37474B"/>
          <w:sz w:val="21"/>
          <w:szCs w:val="21"/>
        </w:rPr>
        <w:t xml:space="preserve"> — node and account allowlists deployed, so only approved nodes connect and only approved accounts transact.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Settlement contract deployed</w:t>
      </w:r>
      <w:r>
        <w:rPr>
          <w:color w:val="37474B"/>
          <w:sz w:val="21"/>
          <w:szCs w:val="21"/>
        </w:rPr>
        <w:t xml:space="preserve"> — and exercised through its full lifecycle: mint, transfer, reconcile, burn.</w:t>
      </w:r>
    </w:p>
    <w:p>
      <w:pPr>
        <w:spacing w:after="70" w:before="200"/>
      </w:pPr>
      <w:r>
        <w:rPr>
          <w:b/>
          <w:bCs/>
          <w:color w:val="5F7175"/>
          <w:spacing w:val="25"/>
          <w:sz w:val="15"/>
          <w:szCs w:val="15"/>
        </w:rPr>
        <w:t xml:space="preserve">BACKEND SETTLEMENT API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Service built</w:t>
      </w:r>
      <w:r>
        <w:rPr>
          <w:color w:val="37474B"/>
          <w:sz w:val="21"/>
          <w:szCs w:val="21"/>
        </w:rPr>
        <w:t xml:space="preserve"> — Node/TypeScript with Postgres, a Redis-backed job queue and dedicated blockchain workers.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Security controls in place</w:t>
      </w:r>
      <w:r>
        <w:rPr>
          <w:color w:val="37474B"/>
          <w:sz w:val="21"/>
          <w:szCs w:val="21"/>
        </w:rPr>
        <w:t xml:space="preserve"> — scoped API keys stored hashed, idempotency keys on money-moving calls, signed webhooks with automatic retries.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Full settlement flow proven on the live chain</w:t>
      </w:r>
      <w:r>
        <w:rPr>
          <w:color w:val="37474B"/>
          <w:sz w:val="21"/>
          <w:szCs w:val="21"/>
        </w:rPr>
        <w:t xml:space="preserve"> — fiat deposit, mint, partner transfer, withdrawal and burn, each with a real transaction hash.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138 automated tests passing</w:t>
      </w:r>
      <w:r>
        <w:rPr>
          <w:color w:val="37474B"/>
          <w:sz w:val="21"/>
          <w:szCs w:val="21"/>
        </w:rPr>
        <w:t xml:space="preserve"> — plus an end-to-end harness that replays the whole flow against the running network.</w:t>
      </w:r>
    </w:p>
    <w:p>
      <w:pPr>
        <w:spacing w:after="70" w:before="200"/>
      </w:pPr>
      <w:r>
        <w:rPr>
          <w:b/>
          <w:bCs/>
          <w:color w:val="5F7175"/>
          <w:spacing w:val="25"/>
          <w:sz w:val="15"/>
          <w:szCs w:val="15"/>
        </w:rPr>
        <w:t xml:space="preserve">DOCUMENTATION &amp; TESTING TOOLS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Interactive Swagger API docs</w:t>
      </w:r>
      <w:r>
        <w:rPr>
          <w:color w:val="37474B"/>
          <w:sz w:val="21"/>
          <w:szCs w:val="21"/>
        </w:rPr>
        <w:t xml:space="preserve"> — all ten endpoints with schemas, examples and authentication, ready to hand to an integration partner.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Mock integrator portal</w:t>
      </w:r>
      <w:r>
        <w:rPr>
          <w:color w:val="37474B"/>
          <w:sz w:val="21"/>
          <w:szCs w:val="21"/>
        </w:rPr>
        <w:t xml:space="preserve"> — a demo company ("XPZ Corp") that runs its own invoices and payouts and uses our API only for settlement.</w:t>
      </w:r>
    </w:p>
    <w:p>
      <w:pPr>
        <w:pBdr>
          <w:bottom w:val="single" w:color="C4D2D3" w:sz="6" w:space="6"/>
        </w:pBdr>
        <w:spacing w:after="140" w:before="380"/>
      </w:pPr>
      <w:r>
        <w:rPr>
          <w:b/>
          <w:bCs/>
          <w:color w:val="0F1A1C"/>
          <w:sz w:val="27"/>
          <w:szCs w:val="27"/>
        </w:rPr>
        <w:t xml:space="preserve">What we will demo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Swagger console</w:t>
      </w:r>
      <w:r>
        <w:rPr>
          <w:color w:val="37474B"/>
          <w:sz w:val="21"/>
          <w:szCs w:val="21"/>
        </w:rPr>
        <w:t xml:space="preserve"> — register a client, record a deposit, mint against it, and watch the transaction confirm on-chain.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Integrator portal</w:t>
      </w:r>
      <w:r>
        <w:rPr>
          <w:color w:val="37474B"/>
          <w:sz w:val="21"/>
          <w:szCs w:val="21"/>
        </w:rPr>
        <w:t xml:space="preserve"> — the same flow from a partner company's point of view: invoice settled, partner paid, customer cash-out closed on-chain.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Live network</w:t>
      </w:r>
      <w:r>
        <w:rPr>
          <w:color w:val="37474B"/>
          <w:sz w:val="21"/>
          <w:szCs w:val="21"/>
        </w:rPr>
        <w:t xml:space="preserve"> — transaction hashes and settlement states read straight back from the running Quorum chain.</w:t>
      </w:r>
    </w:p>
    <w:p>
      <w:pPr>
        <w:pBdr>
          <w:bottom w:val="single" w:color="C4D2D3" w:sz="6" w:space="6"/>
        </w:pBdr>
        <w:spacing w:after="140" w:before="380"/>
      </w:pPr>
      <w:r>
        <w:rPr>
          <w:b/>
          <w:bCs/>
          <w:color w:val="0F1A1C"/>
          <w:sz w:val="27"/>
          <w:szCs w:val="27"/>
        </w:rPr>
        <w:t xml:space="preserve">In development — settlement rail contracts</w:t>
      </w:r>
      <w:r>
        <w:rPr>
          <w:color w:val="5F7175"/>
          <w:sz w:val="16"/>
          <w:szCs w:val="16"/>
        </w:rPr>
        <w:t xml:space="preserve">    this week</w:t>
      </w:r>
    </w:p>
    <w:p>
      <w:pPr>
        <w:spacing w:after="140" w:line="290"/>
      </w:pPr>
      <w:r>
        <w:rPr>
          <w:color w:val="37474B"/>
          <w:sz w:val="21"/>
          <w:szCs w:val="21"/>
        </w:rPr>
        <w:t xml:space="preserve">The current contracts move value correctly, but approval is still a single administrative step. This work puts a DAO between a claimed fiat deposit and a mint, and between a burn and a real payout.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DAO member registry and quorum settings</w:t>
      </w:r>
      <w:r>
        <w:rPr>
          <w:color w:val="37474B"/>
          <w:sz w:val="21"/>
          <w:szCs w:val="21"/>
        </w:rPr>
        <w:t xml:space="preserve"> — who may approve, and how many approvals are required.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Proposal lifecycle — request, vote, execute</w:t>
      </w:r>
      <w:r>
        <w:rPr>
          <w:color w:val="37474B"/>
          <w:sz w:val="21"/>
          <w:szCs w:val="21"/>
        </w:rPr>
        <w:t xml:space="preserve"> — applied to mint, burn and internal transfers, with expiry and no double-execution.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Proof-of-payment registry</w:t>
      </w:r>
      <w:r>
        <w:rPr>
          <w:color w:val="37474B"/>
          <w:sz w:val="21"/>
          <w:szCs w:val="21"/>
        </w:rPr>
        <w:t xml:space="preserve"> — bank reference and document hash recorded on-chain against each proposal, so every mint traces back to evidence.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Approval thresholds by amount</w:t>
      </w:r>
      <w:r>
        <w:rPr>
          <w:color w:val="37474B"/>
          <w:sz w:val="21"/>
          <w:szCs w:val="21"/>
        </w:rPr>
        <w:t xml:space="preserve"> — larger settlements require more approvals.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Test hardening and deployment scripts</w:t>
      </w:r>
      <w:r>
        <w:rPr>
          <w:color w:val="37474B"/>
          <w:sz w:val="21"/>
          <w:szCs w:val="21"/>
        </w:rPr>
        <w:t xml:space="preserve"> — for a repeatable release to the Quorum network.</w:t>
      </w:r>
    </w:p>
    <w:p>
      <w:pPr>
        <w:pBdr>
          <w:bottom w:val="single" w:color="C4D2D3" w:sz="6" w:space="6"/>
        </w:pBdr>
        <w:spacing w:after="140" w:before="380"/>
      </w:pPr>
      <w:r>
        <w:rPr>
          <w:b/>
          <w:bCs/>
          <w:color w:val="0F1A1C"/>
          <w:sz w:val="27"/>
          <w:szCs w:val="27"/>
        </w:rPr>
        <w:t xml:space="preserve">Next — backend alignment</w:t>
      </w:r>
      <w:r>
        <w:rPr>
          <w:color w:val="5F7175"/>
          <w:sz w:val="16"/>
          <w:szCs w:val="16"/>
        </w:rPr>
        <w:t xml:space="preserve">    approx. 1 week after contracts</w:t>
      </w:r>
    </w:p>
    <w:p>
      <w:pPr>
        <w:spacing w:after="140" w:line="290"/>
      </w:pPr>
      <w:r>
        <w:rPr>
          <w:color w:val="37474B"/>
          <w:sz w:val="21"/>
          <w:szCs w:val="21"/>
        </w:rPr>
        <w:t xml:space="preserve">Once the contracts are deployed, the backend is aligned to the real DAO and fiat verification model: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Deposits carry proof of payment</w:t>
      </w:r>
      <w:r>
        <w:rPr>
          <w:color w:val="37474B"/>
          <w:sz w:val="21"/>
          <w:szCs w:val="21"/>
        </w:rPr>
        <w:t xml:space="preserve"> — instead of being marked verified on submission.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DAO members are notified of each new deposit</w:t>
      </w:r>
      <w:r>
        <w:rPr>
          <w:color w:val="37474B"/>
          <w:sz w:val="21"/>
          <w:szCs w:val="21"/>
        </w:rPr>
        <w:t xml:space="preserve"> — they review the proof and vote to allow or reject.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Mint executes only once quorum is reached</w:t>
      </w:r>
      <w:r>
        <w:rPr>
          <w:color w:val="37474B"/>
          <w:sz w:val="21"/>
          <w:szCs w:val="21"/>
        </w:rPr>
        <w:t xml:space="preserve"> — never on a client's word alone.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b/>
          <w:bCs/>
          <w:color w:val="0F1A1C"/>
          <w:sz w:val="21"/>
          <w:szCs w:val="21"/>
        </w:rPr>
        <w:t xml:space="preserve">Withdrawals follow the same path</w:t>
      </w:r>
      <w:r>
        <w:rPr>
          <w:color w:val="37474B"/>
          <w:sz w:val="21"/>
          <w:szCs w:val="21"/>
        </w:rPr>
        <w:t xml:space="preserve"> — burn and payout are released only after DAO approval.</w:t>
      </w:r>
    </w:p>
    <w:p>
      <w:pPr>
        <w:spacing w:after="120" w:before="2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CE5E5" w:sz="4"/>
              <w:left w:val="single" w:color="DCE5E5" w:sz="4"/>
              <w:bottom w:val="single" w:color="DCE5E5" w:sz="4"/>
              <w:right w:val="single" w:color="DCE5E5" w:sz="4"/>
            </w:tcBorders>
            <w:shd w:fill="ED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B6E62"/>
                <w:spacing w:val="25"/>
                <w:sz w:val="15"/>
                <w:szCs w:val="15"/>
              </w:rPr>
              <w:t xml:space="preserve">NOW</w:t>
            </w:r>
          </w:p>
        </w:tc>
        <w:tc>
          <w:tcPr>
            <w:tcW w:type="dxa" w:w="3360"/>
            <w:tcBorders>
              <w:top w:val="single" w:color="DCE5E5" w:sz="4"/>
              <w:left w:val="single" w:color="DCE5E5" w:sz="4"/>
              <w:bottom w:val="single" w:color="DCE5E5" w:sz="4"/>
              <w:right w:val="single" w:color="DCE5E5" w:sz="4"/>
            </w:tcBorders>
            <w:shd w:fill="ED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B6E62"/>
                <w:spacing w:val="25"/>
                <w:sz w:val="15"/>
                <w:szCs w:val="15"/>
              </w:rPr>
              <w:t xml:space="preserve">THIS WEEK</w:t>
            </w:r>
          </w:p>
        </w:tc>
        <w:tc>
          <w:tcPr>
            <w:tcW w:type="dxa" w:w="3360"/>
            <w:tcBorders>
              <w:top w:val="single" w:color="DCE5E5" w:sz="4"/>
              <w:left w:val="single" w:color="DCE5E5" w:sz="4"/>
              <w:bottom w:val="single" w:color="DCE5E5" w:sz="4"/>
              <w:right w:val="single" w:color="DCE5E5" w:sz="4"/>
            </w:tcBorders>
            <w:shd w:fill="ED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B6E62"/>
                <w:spacing w:val="25"/>
                <w:sz w:val="15"/>
                <w:szCs w:val="15"/>
              </w:rPr>
              <w:t xml:space="preserve">FOLLOWING WEEK</w:t>
            </w:r>
          </w:p>
        </w:tc>
      </w:tr>
      <w:tr>
        <w:tc>
          <w:tcPr>
            <w:tcW w:type="dxa" w:w="3360"/>
            <w:tcBorders>
              <w:top w:val="single" w:color="DCE5E5" w:sz="4"/>
              <w:left w:val="single" w:color="DCE5E5" w:sz="4"/>
              <w:bottom w:val="single" w:color="DCE5E5" w:sz="4"/>
              <w:right w:val="single" w:color="DC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7474B"/>
                <w:sz w:val="20"/>
                <w:szCs w:val="20"/>
              </w:rPr>
              <w:t xml:space="preserve">Network, API and Swagger live — demo ready</w:t>
            </w:r>
          </w:p>
        </w:tc>
        <w:tc>
          <w:tcPr>
            <w:tcW w:type="dxa" w:w="3360"/>
            <w:tcBorders>
              <w:top w:val="single" w:color="DCE5E5" w:sz="4"/>
              <w:left w:val="single" w:color="DCE5E5" w:sz="4"/>
              <w:bottom w:val="single" w:color="DCE5E5" w:sz="4"/>
              <w:right w:val="single" w:color="DC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7474B"/>
                <w:sz w:val="20"/>
                <w:szCs w:val="20"/>
              </w:rPr>
              <w:t xml:space="preserve">DAO + proof-of-payment contracts</w:t>
            </w:r>
          </w:p>
        </w:tc>
        <w:tc>
          <w:tcPr>
            <w:tcW w:type="dxa" w:w="3360"/>
            <w:tcBorders>
              <w:top w:val="single" w:color="DCE5E5" w:sz="4"/>
              <w:left w:val="single" w:color="DCE5E5" w:sz="4"/>
              <w:bottom w:val="single" w:color="DCE5E5" w:sz="4"/>
              <w:right w:val="single" w:color="DCE5E5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7474B"/>
                <w:sz w:val="20"/>
                <w:szCs w:val="20"/>
              </w:rPr>
              <w:t xml:space="preserve">Backend aligned, full demo on updated contracts</w:t>
            </w:r>
          </w:p>
        </w:tc>
      </w:tr>
    </w:tbl>
    <w:p>
      <w:pPr>
        <w:pBdr>
          <w:top w:val="single" w:color="C4D2D3" w:sz="6" w:space="10"/>
        </w:pBdr>
        <w:spacing w:before="340"/>
      </w:pPr>
      <w:r>
        <w:rPr>
          <w:i/>
          <w:iCs/>
          <w:color w:val="5F7175"/>
          <w:sz w:val="18"/>
          <w:szCs w:val="18"/>
        </w:rPr>
        <w:t xml:space="preserve">Everything listed as completed is running and reproducible on the current environment. The contract work described above is in active development this week.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74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VittaGems Settlement Rail — Progress Update</dc:title>
  <dc:creator>VittaGems</dc:creator>
  <cp:lastModifiedBy>Un-named</cp:lastModifiedBy>
  <cp:revision>1</cp:revision>
  <dcterms:created xsi:type="dcterms:W3CDTF">2026-09-03T12:58:12.825Z</dcterms:created>
  <dcterms:modified xsi:type="dcterms:W3CDTF">2026-09-03T12:58:12.826Z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