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FARSuN Historical Sunspot Database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FARSuN historical sunspot database consolidates raw sunspot observations (1610–1980) from multiple legacy sources into a single, queryable system that follows Virtual Observatory (VO) standards. It harmonizes independent encodings (e.g., Mitteilungen, Wolf Institute tables, Shreya’s FARSuN DB, Stephen Fay’s variant) and augments them with observer/observatory/instrument metadata, provenance, and QC flags to support scientific reuse and the reconstruction of the Sunspot Number (SN) V3. The core content is daily/group/spot counts (NG, NS, Wolf number components) with optional positions/areas where available, mapped to observers, observatories, instruments, and bibliographic rubrics (Mitteilungen IDs, pages/notes). It captures both table-based sources and drawing-derived extractions.</w:t>
      </w:r>
      <w:r>
        <w:t xml:space="preserve"> </w:t>
      </w:r>
      <w:r>
        <w:t xml:space="preserve">The database is the central integration layer: it makes disparate historical observations Findable, Accessible, Interoperable, and Reusable (FAIR) via standard VO tooling; enables consistent QC; and provides the authoritative input stream to SN V3 stitching/calibration workflows. It also supports new products (e.g., GN; higher cadence daily numbers) by ensuring traceable, versioned provenance.</w:t>
      </w:r>
    </w:p>
    <w:bookmarkStart w:id="20" w:name="X181b0eb7767c6c100e89a20bcf6c867db867caf"/>
    <w:p>
      <w:pPr>
        <w:pStyle w:val="Heading3"/>
      </w:pPr>
      <w:r>
        <w:t xml:space="preserve">0.1 A consolidated, QC’d, VO-exposed database is essential to:</w:t>
      </w:r>
    </w:p>
    <w:p>
      <w:pPr>
        <w:pStyle w:val="Compact"/>
        <w:numPr>
          <w:ilvl w:val="0"/>
          <w:numId w:val="1001"/>
        </w:numPr>
      </w:pPr>
      <w:r>
        <w:t xml:space="preserve">Quantitatively compare observers and epochs to derive robust k-factors and correct systematic biases (e.g., pre‑Wolfer vs. post‑Waldmeier eras).</w:t>
      </w:r>
    </w:p>
    <w:p>
      <w:pPr>
        <w:pStyle w:val="Compact"/>
        <w:numPr>
          <w:ilvl w:val="0"/>
          <w:numId w:val="1001"/>
        </w:numPr>
      </w:pPr>
      <w:r>
        <w:t xml:space="preserve">Reconstruct SN V3 with explicit provenance, uncertainty, and versioning.</w:t>
      </w:r>
    </w:p>
    <w:p>
      <w:pPr>
        <w:pStyle w:val="Compact"/>
        <w:numPr>
          <w:ilvl w:val="0"/>
          <w:numId w:val="1001"/>
        </w:numPr>
      </w:pPr>
      <w:r>
        <w:t xml:space="preserve">Enable external tools (heliophysics, climate studies) to query the same canonical, machine-actionable tables.</w:t>
      </w:r>
    </w:p>
    <w:bookmarkEnd w:id="20"/>
    <w:bookmarkStart w:id="21" w:name="what-the-data-look-like-schema-snapshot"/>
    <w:p>
      <w:pPr>
        <w:pStyle w:val="Heading2"/>
      </w:pPr>
      <w:r>
        <w:t xml:space="preserve">1 What the data look like (schema snapshot)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table: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(date, NG, NS, Wolf components/total, optional positions/areas, method/conditions, links to observer/observatory/instrument/source/rubric, provenance, QC flags).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observers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&amp; traceability:</w:t>
      </w:r>
      <w:r>
        <w:t xml:space="preserve"> </w:t>
      </w:r>
      <w:r>
        <w:t xml:space="preserve">alias and legacy ID mapping,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qc_flags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Assets:</w:t>
      </w:r>
      <w:r>
        <w:t xml:space="preserve"> </w:t>
      </w:r>
      <w:r>
        <w:t xml:space="preserve">links to scans/snippets with OCR/HTR confidence.</w:t>
      </w:r>
    </w:p>
    <w:bookmarkEnd w:id="21"/>
    <w:bookmarkStart w:id="22" w:name="current-status-high-level"/>
    <w:p>
      <w:pPr>
        <w:pStyle w:val="Heading2"/>
      </w:pPr>
      <w:r>
        <w:t xml:space="preserve">2 Current status (high level)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Legacy sets staged</w:t>
      </w:r>
      <w:r>
        <w:t xml:space="preserve"> </w:t>
      </w:r>
      <w:r>
        <w:t xml:space="preserve">in separate schemas for deterministic comparison: initial Mitteilungen, Shreya Mitteilungen, Stephen variant, Wolf Institute dump, Shreya FARSuN.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interfaces loaded</w:t>
      </w:r>
      <w:r>
        <w:t xml:space="preserve"> </w:t>
      </w:r>
      <w:r>
        <w:t xml:space="preserve">for curator review; mapping tables in place.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extractions underway:</w:t>
      </w:r>
      <w:r>
        <w:t xml:space="preserve"> </w:t>
      </w:r>
      <w:r>
        <w:t xml:space="preserve">Adams (drawings), Gruithuisen (manuscripts); Zürich tables extracted by students.</w:t>
      </w:r>
    </w:p>
    <w:bookmarkEnd w:id="22"/>
    <w:bookmarkStart w:id="23" w:name="quality-control-qc-highlights"/>
    <w:p>
      <w:pPr>
        <w:pStyle w:val="Heading2"/>
      </w:pPr>
      <w:r>
        <w:t xml:space="preserve">3 Quality control (QC) highlights</w:t>
      </w:r>
    </w:p>
    <w:p>
      <w:pPr>
        <w:pStyle w:val="Compact"/>
        <w:numPr>
          <w:ilvl w:val="0"/>
          <w:numId w:val="1004"/>
        </w:numPr>
      </w:pPr>
      <w:r>
        <w:t xml:space="preserve">Structured</w:t>
      </w:r>
      <w:r>
        <w:t xml:space="preserve"> </w:t>
      </w:r>
      <w:r>
        <w:rPr>
          <w:b/>
          <w:bCs/>
        </w:rPr>
        <w:t xml:space="preserve">comparison views</w:t>
      </w:r>
      <w:r>
        <w:t xml:space="preserve"> </w:t>
      </w:r>
      <w:r>
        <w:t xml:space="preserve">across legacy vs. canonical tables.</w:t>
      </w:r>
    </w:p>
    <w:p>
      <w:pPr>
        <w:pStyle w:val="Compact"/>
        <w:numPr>
          <w:ilvl w:val="0"/>
          <w:numId w:val="1004"/>
        </w:numPr>
      </w:pPr>
      <w:r>
        <w:t xml:space="preserve">Automated checks: date integrity,</w:t>
      </w:r>
      <w:r>
        <w:t xml:space="preserve"> </w:t>
      </w:r>
      <w:r>
        <w:rPr>
          <w:b/>
          <w:bCs/>
        </w:rPr>
        <w:t xml:space="preserve">NG ≤ NS</w:t>
      </w:r>
      <w:r>
        <w:t xml:space="preserve">, missing observer names,</w:t>
      </w:r>
      <w:r>
        <w:t xml:space="preserve"> </w:t>
      </w:r>
      <w:r>
        <w:rPr>
          <w:b/>
          <w:bCs/>
        </w:rPr>
        <w:t xml:space="preserve">interpolated values</w:t>
      </w:r>
      <w:r>
        <w:t xml:space="preserve">, duplicate candidates.</w:t>
      </w:r>
    </w:p>
    <w:p>
      <w:pPr>
        <w:pStyle w:val="Compact"/>
        <w:numPr>
          <w:ilvl w:val="0"/>
          <w:numId w:val="1004"/>
        </w:numPr>
      </w:pPr>
      <w:r>
        <w:t xml:space="preserve">Documented corrections: observer misattributions (e.g., Williston↔Young; Main vs. Airy).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Observer–year–observatory</w:t>
      </w:r>
      <w:r>
        <w:t xml:space="preserve"> </w:t>
      </w:r>
      <w:r>
        <w:t xml:space="preserve">cross‑correlation tests in curator tooling.</w:t>
      </w:r>
    </w:p>
    <w:bookmarkEnd w:id="23"/>
    <w:bookmarkStart w:id="24" w:name="digitization-metadata"/>
    <w:p>
      <w:pPr>
        <w:pStyle w:val="Heading2"/>
      </w:pPr>
      <w:r>
        <w:t xml:space="preserve">4 Digitization &amp; metadata</w:t>
      </w:r>
    </w:p>
    <w:p>
      <w:pPr>
        <w:pStyle w:val="Compact"/>
        <w:numPr>
          <w:ilvl w:val="0"/>
          <w:numId w:val="1005"/>
        </w:numPr>
      </w:pPr>
      <w:r>
        <w:t xml:space="preserve">Mitteilungen tables digitized and transferred; annotations and corrections applied.</w:t>
      </w:r>
    </w:p>
    <w:p>
      <w:pPr>
        <w:pStyle w:val="Compact"/>
        <w:numPr>
          <w:ilvl w:val="0"/>
          <w:numId w:val="1005"/>
        </w:numPr>
      </w:pPr>
      <w:r>
        <w:t xml:space="preserve">Drawing extraction stack evaluated (DIGISUN, NSO tools, Arlt code); API‑based snippet workflow for manuscripts.</w:t>
      </w:r>
    </w:p>
    <w:p>
      <w:pPr>
        <w:pStyle w:val="Compact"/>
        <w:numPr>
          <w:ilvl w:val="0"/>
          <w:numId w:val="1005"/>
        </w:numPr>
      </w:pPr>
      <w:r>
        <w:t xml:space="preserve">Metadata build‑out for</w:t>
      </w:r>
      <w:r>
        <w:t xml:space="preserve"> </w:t>
      </w:r>
      <w:r>
        <w:rPr>
          <w:b/>
          <w:bCs/>
        </w:rPr>
        <w:t xml:space="preserve">EPNcore alignment</w:t>
      </w:r>
      <w:r>
        <w:t xml:space="preserve"> </w:t>
      </w:r>
      <w:r>
        <w:t xml:space="preserve">(observer, instrument, observatory, source/rubric); Zürich tables metadata encoding ongoing.</w:t>
      </w:r>
    </w:p>
    <w:bookmarkEnd w:id="24"/>
    <w:bookmarkStart w:id="25" w:name="accessibility"/>
    <w:p>
      <w:pPr>
        <w:pStyle w:val="Heading2"/>
      </w:pPr>
      <w:r>
        <w:t xml:space="preserve">5 Accessibility</w:t>
      </w:r>
    </w:p>
    <w:p>
      <w:pPr>
        <w:pStyle w:val="Compact"/>
        <w:numPr>
          <w:ilvl w:val="0"/>
          <w:numId w:val="1006"/>
        </w:numPr>
      </w:pPr>
      <w:r>
        <w:t xml:space="preserve">Target exposure via</w:t>
      </w:r>
      <w:r>
        <w:t xml:space="preserve"> </w:t>
      </w:r>
      <w:r>
        <w:rPr>
          <w:b/>
          <w:bCs/>
        </w:rPr>
        <w:t xml:space="preserve">EPN‑TAP</w:t>
      </w:r>
      <w:r>
        <w:t xml:space="preserve"> </w:t>
      </w:r>
      <w:r>
        <w:t xml:space="preserve">on ROB’s TAP server (already validated with USET tables).</w:t>
      </w:r>
    </w:p>
    <w:p>
      <w:pPr>
        <w:pStyle w:val="Compact"/>
        <w:numPr>
          <w:ilvl w:val="0"/>
          <w:numId w:val="1006"/>
        </w:numPr>
      </w:pPr>
      <w:r>
        <w:t xml:space="preserve">Results queryable with</w:t>
      </w:r>
      <w:r>
        <w:t xml:space="preserve"> </w:t>
      </w:r>
      <w:r>
        <w:rPr>
          <w:b/>
          <w:bCs/>
        </w:rPr>
        <w:t xml:space="preserve">ADQL</w:t>
      </w:r>
      <w:r>
        <w:t xml:space="preserve">; delivery as</w:t>
      </w:r>
      <w:r>
        <w:t xml:space="preserve"> </w:t>
      </w:r>
      <w:r>
        <w:rPr>
          <w:b/>
          <w:bCs/>
        </w:rPr>
        <w:t xml:space="preserve">VOTable</w:t>
      </w:r>
      <w:r>
        <w:t xml:space="preserve">; documented release and versioning policy.</w:t>
      </w:r>
    </w:p>
    <w:bookmarkEnd w:id="25"/>
    <w:bookmarkStart w:id="26" w:name="roadmap-toward-sn-v3"/>
    <w:p>
      <w:pPr>
        <w:pStyle w:val="Heading2"/>
      </w:pPr>
      <w:r>
        <w:t xml:space="preserve">6 Roadmap toward SN V3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Finalize canonical schema</w:t>
      </w:r>
      <w:r>
        <w:t xml:space="preserve"> (conditions vocab, instrument/observatory validity ranges, mandatory provenance/audits).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Complete legacy ID crosswalks</w:t>
      </w:r>
      <w:r>
        <w:t xml:space="preserve"> and alias disambiguation; close mapping gaps.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Scale QC automation</w:t>
      </w:r>
      <w:r>
        <w:t xml:space="preserve"> (validator suite + dashboards) and uncertainty model (observer variance, method/conditions).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Observer intercalibration &amp; stitching</w:t>
      </w:r>
      <w:r>
        <w:t xml:space="preserve"> per historical regime; publish alpha/beta V3 comparisons.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 exposure</w:t>
      </w:r>
      <w:r>
        <w:t xml:space="preserve"> of </w:t>
      </w:r>
      <w:r>
        <w:rPr>
          <w:rStyle w:val="VerbatimChar"/>
        </w:rPr>
        <w:t xml:space="preserve">epn_core</w:t>
      </w:r>
      <w:r>
        <w:t xml:space="preserve"> view + example ADQL notebooks; register service.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Extraction scale‑up</w:t>
      </w:r>
      <w:r>
        <w:t xml:space="preserve"> (Adams, Gruithuisen, Bernaerts, Herschel, Pastorff, Soemmering, Rost); integrate HTR confidence into QC.</w:t>
      </w:r>
    </w:p>
    <w:bookmarkEnd w:id="26"/>
    <w:bookmarkStart w:id="27" w:name="risks-followups"/>
    <w:p>
      <w:pPr>
        <w:pStyle w:val="Heading2"/>
      </w:pPr>
      <w:r>
        <w:t xml:space="preserve">7 Risks &amp; follow‑ups</w:t>
      </w:r>
    </w:p>
    <w:p>
      <w:pPr>
        <w:pStyle w:val="Compact"/>
        <w:numPr>
          <w:ilvl w:val="0"/>
          <w:numId w:val="1008"/>
        </w:numPr>
      </w:pPr>
      <w:r>
        <w:t xml:space="preserve">Residual legacy inconsistencies and incomplete aliasing/metadata.</w:t>
      </w:r>
    </w:p>
    <w:p>
      <w:pPr>
        <w:pStyle w:val="Compact"/>
        <w:numPr>
          <w:ilvl w:val="0"/>
          <w:numId w:val="1008"/>
        </w:numPr>
      </w:pPr>
      <w:r>
        <w:t xml:space="preserve">Variable availability and accuracy of positions/areas across sources.</w:t>
      </w:r>
    </w:p>
    <w:p>
      <w:pPr>
        <w:pStyle w:val="Compact"/>
        <w:numPr>
          <w:ilvl w:val="0"/>
          <w:numId w:val="1008"/>
        </w:numPr>
      </w:pPr>
      <w:r>
        <w:t xml:space="preserve">Need</w:t>
      </w:r>
      <w:r>
        <w:t xml:space="preserve"> </w:t>
      </w:r>
      <w:r>
        <w:rPr>
          <w:b/>
          <w:bCs/>
        </w:rPr>
        <w:t xml:space="preserve">EPNcore extensions</w:t>
      </w:r>
      <w:r>
        <w:t xml:space="preserve"> </w:t>
      </w:r>
      <w:r>
        <w:t xml:space="preserve">for sunspot‑specific fields (Wolf components, QC ranks).</w:t>
      </w:r>
      <w:r>
        <w:t xml:space="preserve"> </w:t>
      </w:r>
      <w:r>
        <w:rPr>
          <w:b/>
          <w:bCs/>
        </w:rPr>
        <w:t xml:space="preserve">Mitigations:</w:t>
      </w:r>
      <w:r>
        <w:t xml:space="preserve"> </w:t>
      </w:r>
      <w:r>
        <w:t xml:space="preserve">curated mapping closure, authority control, QC validator expansion, documented EPNcore extensions.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FARSuN Historical Sunspot Database</dc:title>
  <dc:creator/>
  <cp:keywords/>
  <dcterms:created xsi:type="dcterms:W3CDTF">2025-10-31T09:43:44Z</dcterms:created>
  <dcterms:modified xsi:type="dcterms:W3CDTF">2025-10-31T09:43:44Z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