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SourceCode"/>
      </w:pPr>
      <w:r>
        <w:rPr>
          <w:rStyle w:val="VerbatimChar"/>
        </w:rPr>
        <w:t xml:space="preserve">&lt;p class="sup-title"&gt;Sunspot Number Next-Gen&lt;/p&gt;</w:t>
      </w:r>
      <w:r>
        <w:br/>
      </w:r>
      <w:r>
        <w:rPr>
          <w:rStyle w:val="VerbatimChar"/>
        </w:rPr>
        <w:t xml:space="preserve">&lt;h1&gt;Refining the Sunspot Number Series to SN V3&lt;/h1&gt;</w:t>
      </w:r>
      <w:r>
        <w:br/>
      </w:r>
      <w:r>
        <w:rPr>
          <w:rStyle w:val="VerbatimChar"/>
        </w:rPr>
        <w:t xml:space="preserve">&lt;p class="subtitle"&gt;Reconstructing a Provenance-Rich Solar Activity Record&lt;/p&gt;</w:t>
      </w:r>
      <w:r>
        <w:br/>
      </w:r>
      <w:r>
        <w:rPr>
          <w:rStyle w:val="VerbatimChar"/>
        </w:rPr>
        <w:t xml:space="preserve">&lt;div class="title-meta"&gt;</w:t>
      </w:r>
      <w:r>
        <w:br/>
      </w:r>
      <w:r>
        <w:rPr>
          <w:rStyle w:val="VerbatimChar"/>
        </w:rPr>
        <w:t xml:space="preserve">  &lt;p class="authors"&gt;</w:t>
      </w:r>
      <w:r>
        <w:br/>
      </w:r>
      <w:r>
        <w:rPr>
          <w:rStyle w:val="VerbatimChar"/>
        </w:rPr>
        <w:t xml:space="preserve">    Kalugodu Chandrashekhar¹ · Laure Lefèvre¹ · Benjamin Mampaey¹ ·&lt;br&gt;</w:t>
      </w:r>
      <w:r>
        <w:br/>
      </w:r>
      <w:r>
        <w:rPr>
          <w:rStyle w:val="VerbatimChar"/>
        </w:rPr>
        <w:t xml:space="preserve">    Senthamizh Pavai Valliappan¹ · Hisashi Hayakawa² · Christian Ritter³</w:t>
      </w:r>
      <w:r>
        <w:br/>
      </w:r>
      <w:r>
        <w:rPr>
          <w:rStyle w:val="VerbatimChar"/>
        </w:rPr>
        <w:t xml:space="preserve">  &lt;/p&gt;</w:t>
      </w:r>
      <w:r>
        <w:br/>
      </w:r>
      <w:r>
        <w:rPr>
          <w:rStyle w:val="VerbatimChar"/>
        </w:rPr>
        <w:t xml:space="preserve">  &lt;p class="affiliations"&gt;</w:t>
      </w:r>
      <w:r>
        <w:br/>
      </w:r>
      <w:r>
        <w:rPr>
          <w:rStyle w:val="VerbatimChar"/>
        </w:rPr>
        <w:t xml:space="preserve">    ¹ Royal Observatory of Belgium (ROB) / SILSO · ² Nagoya University · ³ Université Catholique de Louvain, ISBA, LIDAM</w:t>
      </w:r>
      <w:r>
        <w:br/>
      </w:r>
      <w:r>
        <w:rPr>
          <w:rStyle w:val="VerbatimChar"/>
        </w:rPr>
        <w:t xml:space="preserve">  &lt;/p&gt;</w:t>
      </w:r>
      <w:r>
        <w:br/>
      </w:r>
      <w:r>
        <w:rPr>
          <w:rStyle w:val="VerbatimChar"/>
        </w:rPr>
        <w:t xml:space="preserve">  &lt;p class="event"&gt;ESWW 2025&lt;/p&gt;</w:t>
      </w:r>
      <w:r>
        <w:br/>
      </w:r>
      <w:r>
        <w:rPr>
          <w:rStyle w:val="VerbatimChar"/>
        </w:rPr>
        <w:t xml:space="preserve">&lt;/div&gt;</w:t>
      </w:r>
    </w:p>
    <w:p>
      <w:pPr>
        <w:pStyle w:val="SourceCode"/>
      </w:pPr>
      <w:r>
        <w:rPr>
          <w:rStyle w:val="VerbatimChar"/>
        </w:rPr>
        <w:t xml:space="preserve">&lt;img src="logos/observatory_transp.svg" alt="Royal Observatory of Belgium logo" /&gt;</w:t>
      </w:r>
      <w:r>
        <w:br/>
      </w:r>
      <w:r>
        <w:rPr>
          <w:rStyle w:val="VerbatimChar"/>
        </w:rPr>
        <w:t xml:space="preserve">&lt;img src="logos/silso-logo.png" alt="SILSO logo" /&gt;</w:t>
      </w:r>
      <w:r>
        <w:br/>
      </w:r>
      <w:r>
        <w:rPr>
          <w:rStyle w:val="VerbatimChar"/>
        </w:rPr>
        <w:t xml:space="preserve">&lt;img src="logos/farsun_wordmark.svg" alt="FARSuN logo" /&gt;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2025-10-31T09:44:47Z</dcterms:created>
  <dcterms:modified xsi:type="dcterms:W3CDTF">2025-10-31T09:44:47Z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