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Augstin Stark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Early‑19th‑century</w:t>
      </w:r>
      <w:r>
        <w:t xml:space="preserve"> </w:t>
      </w:r>
      <w:r>
        <w:rPr>
          <w:b/>
          <w:bCs/>
        </w:rPr>
        <w:t xml:space="preserve">printed</w:t>
      </w:r>
      <w:r>
        <w:t xml:space="preserve"> </w:t>
      </w:r>
      <w:r>
        <w:t xml:space="preserve">sunspot records associated with</w:t>
      </w:r>
      <w:r>
        <w:t xml:space="preserve"> </w:t>
      </w:r>
      <w:r>
        <w:rPr>
          <w:b/>
          <w:bCs/>
        </w:rPr>
        <w:t xml:space="preserve">Augustin Stark</w:t>
      </w:r>
      <w:r>
        <w:t xml:space="preserve"> </w:t>
      </w:r>
      <w:r>
        <w:t xml:space="preserve">(and occasional contemporaries). Primarily narrative descriptions with day‑level sunspot activity.</w:t>
      </w:r>
    </w:p>
    <w:bookmarkStart w:id="20" w:name="coverage"/>
    <w:p>
      <w:pPr>
        <w:pStyle w:val="Heading3"/>
      </w:pPr>
      <w:r>
        <w:t xml:space="preserve">Coverage</w:t>
      </w:r>
    </w:p>
    <w:p>
      <w:pPr>
        <w:pStyle w:val="FirstParagraph"/>
      </w:pPr>
      <w:r>
        <w:rPr>
          <w:b/>
          <w:bCs/>
        </w:rPr>
        <w:t xml:space="preserve">~1813–1835</w:t>
      </w:r>
      <w:r>
        <w:t xml:space="preserve"> </w:t>
      </w:r>
      <w:r>
        <w:t xml:space="preserve">(e.g., entries from 1817). Cadence is uneven with weather gaps; authorship may include adjacent contributors (e.g.,</w:t>
      </w:r>
      <w:r>
        <w:t xml:space="preserve"> </w:t>
      </w:r>
      <w:r>
        <w:t xml:space="preserve">“Hauptmann”</w:t>
      </w:r>
      <w:r>
        <w:t xml:space="preserve"> </w:t>
      </w:r>
      <w:r>
        <w:t xml:space="preserve">drawing near Stark text).</w:t>
      </w:r>
    </w:p>
    <w:bookmarkEnd w:id="20"/>
    <w:bookmarkStart w:id="21" w:name="why-it-matters-farsun"/>
    <w:p>
      <w:pPr>
        <w:pStyle w:val="Heading3"/>
      </w:pPr>
      <w:r>
        <w:t xml:space="preserve">Why it matters (FARSuN)</w:t>
      </w:r>
    </w:p>
    <w:p>
      <w:pPr>
        <w:pStyle w:val="Compact"/>
        <w:numPr>
          <w:ilvl w:val="0"/>
          <w:numId w:val="1001"/>
        </w:numPr>
      </w:pPr>
      <w:r>
        <w:t xml:space="preserve">Strengthens daily constraints in the</w:t>
      </w:r>
      <w:r>
        <w:t xml:space="preserve"> </w:t>
      </w:r>
      <w:r>
        <w:rPr>
          <w:b/>
          <w:bCs/>
        </w:rPr>
        <w:t xml:space="preserve">Dalton/post‑Dalton</w:t>
      </w:r>
      <w:r>
        <w:t xml:space="preserve"> </w:t>
      </w:r>
      <w:r>
        <w:t xml:space="preserve">era before dense Schwabe records.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Adds</w:t>
      </w:r>
      <w:r>
        <w:t xml:space="preserve"> </w:t>
      </w:r>
      <w:r>
        <w:rPr>
          <w:b/>
          <w:bCs/>
        </w:rPr>
        <w:t xml:space="preserve">NG/NS</w:t>
      </w:r>
      <w:r>
        <w:t xml:space="preserve"> </w:t>
      </w:r>
      <w:r>
        <w:t xml:space="preserve">(and spotless days) for calibration chains used in</w:t>
      </w:r>
      <w:r>
        <w:t xml:space="preserve"> </w:t>
      </w:r>
      <w:r>
        <w:rPr>
          <w:b/>
          <w:bCs/>
        </w:rPr>
        <w:t xml:space="preserve">S</w:t>
      </w:r>
      <w:r>
        <w:rPr>
          <w:b/>
          <w:bCs/>
        </w:rPr>
        <w:t xml:space="preserve">N</w:t>
      </w:r>
      <w:r>
        <w:rPr>
          <w:b/>
          <w:bCs/>
        </w:rPr>
        <w:t xml:space="preserve"> </w:t>
      </w:r>
      <w:r>
        <w:rPr>
          <w:b/>
          <w:bCs/>
        </w:rPr>
        <w:t xml:space="preserve">V3.1/V4</w:t>
      </w:r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Limb‑distance and morphology cues support</w:t>
      </w:r>
      <w:r>
        <w:t xml:space="preserve"> </w:t>
      </w:r>
      <w:r>
        <w:rPr>
          <w:b/>
          <w:bCs/>
        </w:rPr>
        <w:t xml:space="preserve">hemispheric hints</w:t>
      </w:r>
      <w:r>
        <w:t xml:space="preserve"> </w:t>
      </w:r>
      <w:r>
        <w:t xml:space="preserve">and qualitative QC even without precise positions.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Being</w:t>
      </w:r>
      <w:r>
        <w:t xml:space="preserve"> </w:t>
      </w:r>
      <w:r>
        <w:rPr>
          <w:b/>
          <w:bCs/>
        </w:rPr>
        <w:t xml:space="preserve">printed</w:t>
      </w:r>
      <w:r>
        <w:t xml:space="preserve">, it is amenable to</w:t>
      </w:r>
      <w:r>
        <w:t xml:space="preserve"> </w:t>
      </w:r>
      <w:r>
        <w:rPr>
          <w:b/>
          <w:bCs/>
        </w:rPr>
        <w:t xml:space="preserve">OCR + prompt‑guided extraction</w:t>
      </w:r>
      <w:r>
        <w:t xml:space="preserve"> </w:t>
      </w:r>
      <w:r>
        <w:t xml:space="preserve">(faster than HTR).</w:t>
      </w:r>
    </w:p>
    <w:bookmarkEnd w:id="21"/>
    <w:bookmarkStart w:id="22" w:name="present-status"/>
    <w:p>
      <w:pPr>
        <w:pStyle w:val="Heading3"/>
      </w:pPr>
      <w:r>
        <w:t xml:space="preserve">Present Status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Identified &amp; sourced;</w:t>
      </w:r>
      <w:r>
        <w:t xml:space="preserve"> </w:t>
      </w:r>
      <w:r>
        <w:t xml:space="preserve">materials located in German digital libraries and shared drives.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Pilot extractions</w:t>
      </w:r>
      <w:r>
        <w:t xml:space="preserve"> </w:t>
      </w:r>
      <w:r>
        <w:t xml:space="preserve">via a Shiny/LLM‑assisted interface (initially for Gruithuisen) show</w:t>
      </w:r>
      <w:r>
        <w:t xml:space="preserve"> </w:t>
      </w:r>
      <w:r>
        <w:rPr>
          <w:b/>
          <w:bCs/>
        </w:rPr>
        <w:t xml:space="preserve">good but inconsistent</w:t>
      </w:r>
      <w:r>
        <w:t xml:space="preserve"> </w:t>
      </w:r>
      <w:r>
        <w:t xml:space="preserve">results; further tuning needed.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Listed as</w:t>
      </w:r>
      <w:r>
        <w:t xml:space="preserve"> </w:t>
      </w:r>
      <w:r>
        <w:rPr>
          <w:b/>
          <w:bCs/>
        </w:rPr>
        <w:t xml:space="preserve">“to be examined”</w:t>
      </w:r>
      <w:r>
        <w:t xml:space="preserve"> </w:t>
      </w:r>
      <w:r>
        <w:t xml:space="preserve">in project tracking; student trials done; workspaces prepared.</w:t>
      </w:r>
    </w:p>
    <w:bookmarkEnd w:id="22"/>
    <w:bookmarkStart w:id="23" w:name="Xe9c7dd5f8ecd25bb6bc88fbfb1c2399c8006c82"/>
    <w:p>
      <w:pPr>
        <w:pStyle w:val="Heading3"/>
      </w:pPr>
      <w:r>
        <w:t xml:space="preserve">What the data look like (content &amp; structure)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Per‑date narrative:</w:t>
      </w:r>
      <w:r>
        <w:t xml:space="preserve"> </w:t>
      </w:r>
      <w:r>
        <w:t xml:space="preserve">morphology (</w:t>
      </w:r>
      <w:r>
        <w:t xml:space="preserve">“depressions/openings,”</w:t>
      </w:r>
      <w:r>
        <w:t xml:space="preserve"> </w:t>
      </w:r>
      <w:r>
        <w:t xml:space="preserve">“chains”</w:t>
      </w:r>
      <w:r>
        <w:t xml:space="preserve">), distances from limb (′/″), weather notes.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Counts:</w:t>
      </w:r>
      <w:r>
        <w:t xml:space="preserve"> </w:t>
      </w:r>
      <w:r>
        <w:t xml:space="preserve">implicit/explicit</w:t>
      </w:r>
      <w:r>
        <w:t xml:space="preserve"> </w:t>
      </w:r>
      <w:r>
        <w:rPr>
          <w:b/>
          <w:bCs/>
        </w:rPr>
        <w:t xml:space="preserve">NG</w:t>
      </w:r>
      <w:r>
        <w:t xml:space="preserve">,</w:t>
      </w:r>
      <w:r>
        <w:t xml:space="preserve"> </w:t>
      </w:r>
      <w:r>
        <w:rPr>
          <w:b/>
          <w:bCs/>
        </w:rPr>
        <w:t xml:space="preserve">NS</w:t>
      </w:r>
      <w:r>
        <w:t xml:space="preserve">;</w:t>
      </w:r>
      <w:r>
        <w:t xml:space="preserve"> </w:t>
      </w:r>
      <w:r>
        <w:rPr>
          <w:b/>
          <w:bCs/>
        </w:rPr>
        <w:t xml:space="preserve">Wolf number</w:t>
      </w:r>
      <w:r>
        <w:t xml:space="preserve"> </w:t>
      </w:r>
      <w:r>
        <w:t xml:space="preserve">derivable (W=10·NG+NS).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Metadata spine:</w:t>
      </w:r>
      <w:r>
        <w:t xml:space="preserve"> </w:t>
      </w:r>
      <w:r>
        <w:t xml:space="preserve">date/time, observer, source (journal/volume/page), method/instrument if given, hemisphere hint, QC flags.</w:t>
      </w:r>
    </w:p>
    <w:bookmarkEnd w:id="23"/>
    <w:bookmarkStart w:id="24" w:name="digitization-qc"/>
    <w:p>
      <w:pPr>
        <w:pStyle w:val="Heading3"/>
      </w:pPr>
      <w:r>
        <w:t xml:space="preserve">Digitization &amp; QC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OCR</w:t>
      </w:r>
      <w:r>
        <w:t xml:space="preserve"> </w:t>
      </w:r>
      <w:r>
        <w:t xml:space="preserve">for Fraktur/antiqua +</w:t>
      </w:r>
      <w:r>
        <w:t xml:space="preserve"> </w:t>
      </w:r>
      <w:r>
        <w:rPr>
          <w:b/>
          <w:bCs/>
        </w:rPr>
        <w:t xml:space="preserve">rule‑based normalization</w:t>
      </w:r>
      <w:r>
        <w:t xml:space="preserve"> </w:t>
      </w:r>
      <w:r>
        <w:t xml:space="preserve">of units and terms.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Prompt‑guided extraction</w:t>
      </w:r>
      <w:r>
        <w:t xml:space="preserve"> </w:t>
      </w:r>
      <w:r>
        <w:t xml:space="preserve">with few‑shot examples; codify</w:t>
      </w:r>
      <w:r>
        <w:t xml:space="preserve"> </w:t>
      </w:r>
      <w:r>
        <w:t xml:space="preserve">“narrative → counts”</w:t>
      </w:r>
      <w:r>
        <w:t xml:space="preserve"> </w:t>
      </w:r>
      <w:r>
        <w:t xml:space="preserve">rules (e.g., chains vs discrete spots).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Dual‑annotator validation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adjudication</w:t>
      </w:r>
      <w:r>
        <w:t xml:space="preserve">; derive inter‑rater stats to seed per‑day uncertainties.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Cross‑observer checks</w:t>
      </w:r>
      <w:r>
        <w:t xml:space="preserve"> </w:t>
      </w:r>
      <w:r>
        <w:t xml:space="preserve">against Pastorff, Gruithuisen, Herschel to build</w:t>
      </w:r>
      <w:r>
        <w:t xml:space="preserve"> </w:t>
      </w:r>
      <w:r>
        <w:rPr>
          <w:b/>
          <w:bCs/>
        </w:rPr>
        <w:t xml:space="preserve">k‑factor priors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Provenance:</w:t>
      </w:r>
      <w:r>
        <w:t xml:space="preserve"> </w:t>
      </w:r>
      <w:r>
        <w:t xml:space="preserve">retain page images/snippets, hashes, and versioning.</w:t>
      </w:r>
    </w:p>
    <w:bookmarkEnd w:id="24"/>
    <w:bookmarkStart w:id="25" w:name="accessibility"/>
    <w:p>
      <w:pPr>
        <w:pStyle w:val="Heading3"/>
      </w:pPr>
      <w:r>
        <w:t xml:space="preserve">Accessibility</w:t>
      </w:r>
    </w:p>
    <w:p>
      <w:pPr>
        <w:pStyle w:val="Compact"/>
        <w:numPr>
          <w:ilvl w:val="0"/>
          <w:numId w:val="1005"/>
        </w:numPr>
      </w:pPr>
      <w:r>
        <w:t xml:space="preserve">Working copies/notes in internal wiki &amp; drives.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Post‑QC ingestion to</w:t>
      </w:r>
      <w:r>
        <w:t xml:space="preserve"> </w:t>
      </w:r>
      <w:r>
        <w:rPr>
          <w:b/>
          <w:bCs/>
        </w:rPr>
        <w:t xml:space="preserve">ROB VO/TAP</w:t>
      </w:r>
      <w:r>
        <w:t xml:space="preserve"> </w:t>
      </w:r>
      <w:r>
        <w:t xml:space="preserve">with FARSuN’s</w:t>
      </w:r>
      <w:r>
        <w:t xml:space="preserve"> </w:t>
      </w:r>
      <w:r>
        <w:rPr>
          <w:b/>
          <w:bCs/>
        </w:rPr>
        <w:t xml:space="preserve">Drawings / Groups / Conditions</w:t>
      </w:r>
      <w:r>
        <w:t xml:space="preserve"> </w:t>
      </w:r>
      <w:r>
        <w:t xml:space="preserve">schema;</w:t>
      </w:r>
      <w:r>
        <w:t xml:space="preserve"> </w:t>
      </w:r>
      <w:r>
        <w:rPr>
          <w:b/>
          <w:bCs/>
        </w:rPr>
        <w:t xml:space="preserve">FAIR</w:t>
      </w:r>
      <w:r>
        <w:t xml:space="preserve"> </w:t>
      </w:r>
      <w:r>
        <w:t xml:space="preserve">compliant metadata.</w:t>
      </w:r>
    </w:p>
    <w:bookmarkEnd w:id="25"/>
    <w:bookmarkStart w:id="26" w:name="nearterm-todos-practical"/>
    <w:p>
      <w:pPr>
        <w:pStyle w:val="Heading3"/>
      </w:pPr>
      <w:r>
        <w:t xml:space="preserve">Near‑Term To‑Dos (practical)</w:t>
      </w:r>
    </w:p>
    <w:p>
      <w:pPr>
        <w:pStyle w:val="Compact"/>
        <w:numPr>
          <w:ilvl w:val="0"/>
          <w:numId w:val="1006"/>
        </w:numPr>
      </w:pPr>
      <w:r>
        <w:t xml:space="preserve">Finalize</w:t>
      </w:r>
      <w:r>
        <w:t xml:space="preserve"> </w:t>
      </w:r>
      <w:r>
        <w:rPr>
          <w:b/>
          <w:bCs/>
        </w:rPr>
        <w:t xml:space="preserve">bibliography &amp; page map</w:t>
      </w:r>
      <w:r>
        <w:t xml:space="preserve">; disambiguate non‑Stark inserts.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Publish a</w:t>
      </w:r>
      <w:r>
        <w:t xml:space="preserve"> </w:t>
      </w:r>
      <w:r>
        <w:rPr>
          <w:b/>
          <w:bCs/>
        </w:rPr>
        <w:t xml:space="preserve">prompt playbook</w:t>
      </w:r>
      <w:r>
        <w:t xml:space="preserve"> </w:t>
      </w:r>
      <w:r>
        <w:t xml:space="preserve">+ error taxonomy; standardize extraction flags.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Align with contemporaries; estimate</w:t>
      </w:r>
      <w:r>
        <w:t xml:space="preserve"> </w:t>
      </w:r>
      <w:r>
        <w:rPr>
          <w:b/>
          <w:bCs/>
        </w:rPr>
        <w:t xml:space="preserve">ΔNG/ΔNS</w:t>
      </w:r>
      <w:r>
        <w:t xml:space="preserve"> </w:t>
      </w:r>
      <w:r>
        <w:t xml:space="preserve">and scaling priors.</w:t>
      </w:r>
    </w:p>
    <w:bookmarkEnd w:id="26"/>
    <w:bookmarkStart w:id="27" w:name="path-to-sn-v3"/>
    <w:p>
      <w:pPr>
        <w:pStyle w:val="Heading2"/>
      </w:pPr>
      <w:r>
        <w:t xml:space="preserve">Path to S</w:t>
      </w:r>
      <w:r>
        <w:t xml:space="preserve">N</w:t>
      </w:r>
      <w:r>
        <w:t xml:space="preserve"> </w:t>
      </w:r>
      <w:r>
        <w:t xml:space="preserve">V3</w:t>
      </w:r>
    </w:p>
    <w:p>
      <w:pPr>
        <w:pStyle w:val="Compact"/>
        <w:numPr>
          <w:ilvl w:val="0"/>
          <w:numId w:val="1007"/>
        </w:numPr>
      </w:pPr>
      <w:r>
        <w:t xml:space="preserve">Integrate daily</w:t>
      </w:r>
      <w:r>
        <w:t xml:space="preserve"> </w:t>
      </w:r>
      <w:r>
        <w:rPr>
          <w:b/>
          <w:bCs/>
        </w:rPr>
        <w:t xml:space="preserve">NG/NS + uncertainties</w:t>
      </w:r>
      <w:r>
        <w:t xml:space="preserve"> </w:t>
      </w:r>
      <w:r>
        <w:t xml:space="preserve">as an</w:t>
      </w:r>
      <w:r>
        <w:t xml:space="preserve"> </w:t>
      </w:r>
      <w:r>
        <w:rPr>
          <w:b/>
          <w:bCs/>
        </w:rPr>
        <w:t xml:space="preserve">informative node</w:t>
      </w:r>
      <w:r>
        <w:t xml:space="preserve"> </w:t>
      </w:r>
      <w:r>
        <w:t xml:space="preserve">in calibration chains.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Use Stark as a</w:t>
      </w:r>
      <w:r>
        <w:t xml:space="preserve"> </w:t>
      </w:r>
      <w:r>
        <w:rPr>
          <w:b/>
          <w:bCs/>
        </w:rPr>
        <w:t xml:space="preserve">procedural rehearsal</w:t>
      </w:r>
      <w:r>
        <w:t xml:space="preserve"> </w:t>
      </w:r>
      <w:r>
        <w:t xml:space="preserve">for V3 (expanded uncertainty &amp; provenance).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Release notes to include cadence limits, textual ambiguities, and multi‑observer considerations.</w:t>
      </w:r>
    </w:p>
    <w:p>
      <w:pPr>
        <w:pStyle w:val="FirstParagraph"/>
      </w:pPr>
      <w:r>
        <w:t xml:space="preserve">Stark (1813–1835) is a high‑value, printed dataset that can be reliably normalized with OCR+rules+dual‑QC to support S</w:t>
      </w:r>
      <w:r>
        <w:t xml:space="preserve">N</w:t>
      </w:r>
      <w:r>
        <w:t xml:space="preserve"> </w:t>
      </w:r>
      <w:r>
        <w:t xml:space="preserve">V3.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Augstin Stark</dc:title>
  <dc:creator/>
  <cp:keywords/>
  <dcterms:created xsi:type="dcterms:W3CDTF">2025-12-15T00:43:02Z</dcterms:created>
  <dcterms:modified xsi:type="dcterms:W3CDTF">2025-12-15T00:43:02Z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