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C. H. Adams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overview"/>
    <w:p>
      <w:pPr>
        <w:pStyle w:val="Heading2"/>
      </w:pPr>
      <w:r>
        <w:t xml:space="preserve">1 Overview</w:t>
      </w:r>
    </w:p>
    <w:p>
      <w:pPr>
        <w:pStyle w:val="Compact"/>
        <w:numPr>
          <w:ilvl w:val="0"/>
          <w:numId w:val="1001"/>
        </w:numPr>
      </w:pPr>
      <w:r>
        <w:t xml:space="preserve">Observer &amp; Site: C. H. Adams, UK (likely near London).</w:t>
      </w:r>
    </w:p>
    <w:p>
      <w:pPr>
        <w:pStyle w:val="Compact"/>
        <w:numPr>
          <w:ilvl w:val="0"/>
          <w:numId w:val="1001"/>
        </w:numPr>
      </w:pPr>
      <w:r>
        <w:t xml:space="preserve">Period Covered: August 1819 – May 1823.</w:t>
      </w:r>
    </w:p>
    <w:p>
      <w:pPr>
        <w:pStyle w:val="Compact"/>
        <w:numPr>
          <w:ilvl w:val="0"/>
          <w:numId w:val="1001"/>
        </w:numPr>
      </w:pPr>
      <w:r>
        <w:t xml:space="preserve">Content: Nearly daily full-disk sunspot drawings with accompanying tabular counts of sunspot groups and individual spots.</w:t>
      </w:r>
    </w:p>
    <w:p>
      <w:pPr>
        <w:pStyle w:val="Compact"/>
        <w:numPr>
          <w:ilvl w:val="0"/>
          <w:numId w:val="1001"/>
        </w:numPr>
      </w:pPr>
      <w:r>
        <w:t xml:space="preserve">Observation Method: Used an asterisk notation distinguishing direct view (“*”) from reflection view (no asterisk); observation times frequently noted.</w:t>
      </w:r>
    </w:p>
    <w:p>
      <w:pPr>
        <w:pStyle w:val="Compact"/>
        <w:numPr>
          <w:ilvl w:val="0"/>
          <w:numId w:val="1001"/>
        </w:numPr>
      </w:pPr>
      <w:r>
        <w:t xml:space="preserve">Significance: Provides dense daily coverage—including many spotless days—during an under-documented period, improving the calibration and low-activity baseline of ISN V3.</w:t>
      </w:r>
    </w:p>
    <w:bookmarkStart w:id="20" w:name="structure-content"/>
    <w:p>
      <w:pPr>
        <w:pStyle w:val="Heading3"/>
      </w:pPr>
      <w:r>
        <w:t xml:space="preserve">1.1 Structure &amp; Content</w:t>
      </w:r>
    </w:p>
    <w:p>
      <w:pPr>
        <w:pStyle w:val="Compact"/>
        <w:numPr>
          <w:ilvl w:val="0"/>
          <w:numId w:val="1002"/>
        </w:numPr>
      </w:pPr>
      <w:r>
        <w:t xml:space="preserve">Tabular layer: Per-day entries of number of groups (NG), number of spots (NS), spotless indicator, observation time, method flag, and comments. Wolf numbers W = 10·NG + NS can be derived.</w:t>
      </w:r>
    </w:p>
    <w:p>
      <w:pPr>
        <w:pStyle w:val="Compact"/>
        <w:numPr>
          <w:ilvl w:val="0"/>
          <w:numId w:val="1002"/>
        </w:numPr>
      </w:pPr>
      <w:r>
        <w:t xml:space="preserve">Image layer: 338 scanned manuscript drawings requiring orientation and dewarping.</w:t>
      </w:r>
    </w:p>
    <w:p>
      <w:pPr>
        <w:pStyle w:val="Compact"/>
        <w:numPr>
          <w:ilvl w:val="0"/>
          <w:numId w:val="1002"/>
        </w:numPr>
      </w:pPr>
      <w:r>
        <w:t xml:space="preserve">Metadata layer: Observer, site, instrument, method, provenance (Mittheilungen vol./page, folio IDs), and database foreign-key links (observer/rubric).</w:t>
      </w:r>
    </w:p>
    <w:bookmarkEnd w:id="20"/>
    <w:bookmarkStart w:id="21" w:name="coverage-volume"/>
    <w:p>
      <w:pPr>
        <w:pStyle w:val="Heading3"/>
      </w:pPr>
      <w:r>
        <w:t xml:space="preserve">1.2 Coverage &amp; Volume</w:t>
      </w:r>
    </w:p>
    <w:p>
      <w:pPr>
        <w:pStyle w:val="Compact"/>
        <w:numPr>
          <w:ilvl w:val="0"/>
          <w:numId w:val="1003"/>
        </w:numPr>
      </w:pPr>
      <w:r>
        <w:t xml:space="preserve">Drawings: 338</w:t>
      </w:r>
    </w:p>
    <w:p>
      <w:pPr>
        <w:pStyle w:val="Compact"/>
        <w:numPr>
          <w:ilvl w:val="0"/>
          <w:numId w:val="1003"/>
        </w:numPr>
      </w:pPr>
      <w:r>
        <w:t xml:space="preserve">Total dated entries: 1,056 → 308 spot-days + 748 spotless days</w:t>
      </w:r>
    </w:p>
    <w:p>
      <w:pPr>
        <w:pStyle w:val="Compact"/>
        <w:numPr>
          <w:ilvl w:val="0"/>
          <w:numId w:val="1003"/>
        </w:numPr>
      </w:pPr>
      <w:r>
        <w:t xml:space="preserve">Comparison: Zürich Mittheilungen (402 entries) cover only 94 spotless days; Adams adds ~650 new spotless statements—critical for establishing quiet-Sun baselines.</w:t>
      </w:r>
    </w:p>
    <w:bookmarkEnd w:id="21"/>
    <w:bookmarkStart w:id="22" w:name="scientific-importance"/>
    <w:p>
      <w:pPr>
        <w:pStyle w:val="Heading3"/>
      </w:pPr>
      <w:r>
        <w:t xml:space="preserve">1.3 Scientific Importance</w:t>
      </w:r>
    </w:p>
    <w:p>
      <w:pPr>
        <w:pStyle w:val="Compact"/>
        <w:numPr>
          <w:ilvl w:val="0"/>
          <w:numId w:val="1004"/>
        </w:numPr>
      </w:pPr>
      <w:r>
        <w:t xml:space="preserve">Completeness: Captures numerous explicit zero-spot (spotless) days often absent elsewhere.</w:t>
      </w:r>
    </w:p>
    <w:p>
      <w:pPr>
        <w:pStyle w:val="Compact"/>
        <w:numPr>
          <w:ilvl w:val="0"/>
          <w:numId w:val="1004"/>
        </w:numPr>
      </w:pPr>
      <w:r>
        <w:t xml:space="preserve">Method sensitivity: Direct vs reflection views allow analysis of observational bias and variance.</w:t>
      </w:r>
    </w:p>
    <w:p>
      <w:pPr>
        <w:pStyle w:val="Compact"/>
        <w:numPr>
          <w:ilvl w:val="0"/>
          <w:numId w:val="1004"/>
        </w:numPr>
      </w:pPr>
      <w:r>
        <w:t xml:space="preserve">Future use: Once oriented, drawings will provide positional and areal data for hemispheric sunspot numbers and dynamo studies.</w:t>
      </w:r>
    </w:p>
    <w:p>
      <w:pPr>
        <w:pStyle w:val="Compact"/>
        <w:numPr>
          <w:ilvl w:val="0"/>
          <w:numId w:val="1004"/>
        </w:numPr>
      </w:pPr>
      <w:r>
        <w:t xml:space="preserve">Historical value: Offers a rare, continuous dataset bridging early 19th-century solar cycles for long-term variability research.</w:t>
      </w:r>
    </w:p>
    <w:bookmarkEnd w:id="22"/>
    <w:bookmarkStart w:id="23" w:name="farsun-progress"/>
    <w:p>
      <w:pPr>
        <w:pStyle w:val="Heading3"/>
      </w:pPr>
      <w:r>
        <w:t xml:space="preserve">1.4 FARSuN Progress</w:t>
      </w:r>
    </w:p>
    <w:p>
      <w:pPr>
        <w:pStyle w:val="Compact"/>
        <w:numPr>
          <w:ilvl w:val="0"/>
          <w:numId w:val="1005"/>
        </w:numPr>
      </w:pPr>
      <w:r>
        <w:t xml:space="preserve">Retrieval: Led by Pavai with Lefèvre &amp; Ritter; extracted tables (sunspot_metadata-ADAMS_…) aligned with Mittheilungen references.</w:t>
      </w:r>
    </w:p>
    <w:p>
      <w:pPr>
        <w:pStyle w:val="Compact"/>
        <w:numPr>
          <w:ilvl w:val="0"/>
          <w:numId w:val="1005"/>
        </w:numPr>
      </w:pPr>
      <w:r>
        <w:t xml:space="preserve">Quality Control: Removed ambiguities in NG/NS; planned dispersion checks between Adams/Mittheilungen/Pavai sets; validated with Gruithuisen overlap (Aug–Sep 1819).</w:t>
      </w:r>
    </w:p>
    <w:p>
      <w:pPr>
        <w:pStyle w:val="Compact"/>
        <w:numPr>
          <w:ilvl w:val="0"/>
          <w:numId w:val="1005"/>
        </w:numPr>
      </w:pPr>
      <w:r>
        <w:t xml:space="preserve">Digitization: Orientation and dewarping (e.g., folio 15) via ScanTailor Advanced; limb registration standardized; reflection ↔ direct transformations tested (R. Arlt).</w:t>
      </w:r>
    </w:p>
    <w:p>
      <w:pPr>
        <w:pStyle w:val="Compact"/>
        <w:numPr>
          <w:ilvl w:val="0"/>
          <w:numId w:val="1005"/>
        </w:numPr>
      </w:pPr>
      <w:r>
        <w:t xml:space="preserve">Metadata encoding: Observer, site, method, time, spotless flag, provenance linked to the historical database.</w:t>
      </w:r>
    </w:p>
    <w:p>
      <w:pPr>
        <w:pStyle w:val="Compact"/>
        <w:numPr>
          <w:ilvl w:val="0"/>
          <w:numId w:val="1005"/>
        </w:numPr>
      </w:pPr>
      <w:r>
        <w:t xml:space="preserve">Accessibility (planned): Release through EPN-TAP/VO-TAP at ROB with QC flags, versioning, and query fields (method, spotless, provenance).</w:t>
      </w:r>
    </w:p>
    <w:bookmarkEnd w:id="23"/>
    <w:bookmarkStart w:id="24" w:name="integration-into-isn-v3-near-term-steps"/>
    <w:p>
      <w:pPr>
        <w:pStyle w:val="Heading3"/>
      </w:pPr>
      <w:r>
        <w:t xml:space="preserve">1.5 Integration into ISN V3 — Near-Term Steps</w:t>
      </w:r>
    </w:p>
    <w:p>
      <w:pPr>
        <w:pStyle w:val="Compact"/>
        <w:numPr>
          <w:ilvl w:val="0"/>
          <w:numId w:val="1006"/>
        </w:numPr>
      </w:pPr>
      <w:r>
        <w:t xml:space="preserve">Finalize coverage calendar and authoritative day list.</w:t>
      </w:r>
    </w:p>
    <w:p>
      <w:pPr>
        <w:pStyle w:val="Compact"/>
        <w:numPr>
          <w:ilvl w:val="0"/>
          <w:numId w:val="1006"/>
        </w:numPr>
      </w:pPr>
      <w:r>
        <w:t xml:space="preserve">Publish day-level comparison log (Adams vs Mittheilungen/Pavai).</w:t>
      </w:r>
    </w:p>
    <w:p>
      <w:pPr>
        <w:pStyle w:val="Compact"/>
        <w:numPr>
          <w:ilvl w:val="0"/>
          <w:numId w:val="1006"/>
        </w:numPr>
      </w:pPr>
      <w:r>
        <w:t xml:space="preserve">Model observational biases and uncertainties by method.</w:t>
      </w:r>
    </w:p>
    <w:p>
      <w:pPr>
        <w:pStyle w:val="Compact"/>
        <w:numPr>
          <w:ilvl w:val="0"/>
          <w:numId w:val="1006"/>
        </w:numPr>
      </w:pPr>
      <w:r>
        <w:t xml:space="preserve">Test inclusion of Adams as an independent node in ISN V3 stitching to assess baseline impact.</w:t>
      </w:r>
    </w:p>
    <w:p>
      <w:pPr>
        <w:pStyle w:val="Compact"/>
        <w:numPr>
          <w:ilvl w:val="0"/>
          <w:numId w:val="1006"/>
        </w:numPr>
      </w:pPr>
      <w:r>
        <w:t xml:space="preserve">Release v1 (NG/NS + spotless + method/time + provenance); v2 to include positional/areal data.</w:t>
      </w:r>
    </w:p>
    <w:bookmarkEnd w:id="24"/>
    <w:bookmarkEnd w:id="25"/>
    <w:bookmarkStart w:id="26" w:name="gaps-follow-ups"/>
    <w:p>
      <w:pPr>
        <w:pStyle w:val="Heading2"/>
      </w:pPr>
      <w:r>
        <w:t xml:space="preserve">2 Gaps &amp; Follow-ups</w:t>
      </w:r>
    </w:p>
    <w:p>
      <w:pPr>
        <w:pStyle w:val="Compact"/>
        <w:numPr>
          <w:ilvl w:val="0"/>
          <w:numId w:val="1007"/>
        </w:numPr>
      </w:pPr>
      <w:r>
        <w:t xml:space="preserve">Check for material beyond 1819–1823.</w:t>
      </w:r>
    </w:p>
    <w:p>
      <w:pPr>
        <w:pStyle w:val="Compact"/>
        <w:numPr>
          <w:ilvl w:val="0"/>
          <w:numId w:val="1007"/>
        </w:numPr>
      </w:pPr>
      <w:r>
        <w:t xml:space="preserve">Verify completeness of direct/reflection flags.</w:t>
      </w:r>
    </w:p>
    <w:p>
      <w:pPr>
        <w:pStyle w:val="Compact"/>
        <w:numPr>
          <w:ilvl w:val="0"/>
          <w:numId w:val="1007"/>
        </w:numPr>
      </w:pPr>
      <w:r>
        <w:t xml:space="preserve">Report orientation accuracy metrics before releasing coordinates.</w:t>
      </w:r>
    </w:p>
    <w:p>
      <w:pPr>
        <w:pStyle w:val="Compact"/>
        <w:numPr>
          <w:ilvl w:val="0"/>
          <w:numId w:val="1007"/>
        </w:numPr>
      </w:pPr>
      <w:r>
        <w:t xml:space="preserve">Confirm rights, assign DOI, and register in IVOA.</w:t>
      </w:r>
    </w:p>
    <w:p>
      <w:pPr>
        <w:pStyle w:val="Compact"/>
        <w:numPr>
          <w:ilvl w:val="0"/>
          <w:numId w:val="1007"/>
        </w:numPr>
      </w:pPr>
      <w:r>
        <w:t xml:space="preserve">Explore citizen-science validation and future scientific publications.</w:t>
      </w:r>
    </w:p>
    <w:p>
      <w:pPr>
        <w:pStyle w:val="FirstParagraph"/>
      </w:pPr>
      <w:r>
        <w:t xml:space="preserve">In essence: The C. H. Adams sunspot archive offers an exceptional, method-rich dataset that strengthens the early-19th-century solar record. FARSuN’s ongoing digitization and calibration work will make it a cornerstone reference for the International Sunspot Number V3 and broader studies of solar variability and climate linkage.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 H. Adams Data</dc:title>
  <dc:creator/>
  <cp:keywords/>
  <dcterms:created xsi:type="dcterms:W3CDTF">2025-10-20T12:30:09Z</dcterms:created>
  <dcterms:modified xsi:type="dcterms:W3CDTF">2025-10-20T12:30:09Z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