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Gruithuisen Data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gruithuisen-data"/>
    <w:p>
      <w:pPr>
        <w:pStyle w:val="Heading3"/>
      </w:pPr>
      <w:r>
        <w:t xml:space="preserve">0.1 Gruithuisen Data</w:t>
      </w:r>
    </w:p>
    <w:p>
      <w:pPr>
        <w:pStyle w:val="Compact"/>
        <w:numPr>
          <w:ilvl w:val="0"/>
          <w:numId w:val="1001"/>
        </w:numPr>
      </w:pPr>
      <w:r>
        <w:t xml:space="preserve">Historical manuscripts by Franz von Paula Gruithuisen (Munich Observatory, early 19th century) containing daily notes on weather, sky conditions, and sunspot observations, written in Kurrent (old German script).</w:t>
      </w:r>
    </w:p>
    <w:p>
      <w:pPr>
        <w:pStyle w:val="Compact"/>
        <w:numPr>
          <w:ilvl w:val="0"/>
          <w:numId w:val="1001"/>
        </w:numPr>
      </w:pPr>
      <w:r>
        <w:t xml:space="preserve">The notebooks combine textual remarks (</w:t>
      </w:r>
      <w:r>
        <w:t xml:space="preserve">“Flecken”</w:t>
      </w:r>
      <w:r>
        <w:t xml:space="preserve">,</w:t>
      </w:r>
      <w:r>
        <w:t xml:space="preserve"> </w:t>
      </w:r>
      <w:r>
        <w:t xml:space="preserve">“Öffnungen”</w:t>
      </w:r>
      <w:r>
        <w:t xml:space="preserve">) with drawings — both small in-text sketches and large full-disk solar diagrams.</w:t>
      </w:r>
    </w:p>
    <w:p>
      <w:pPr>
        <w:pStyle w:val="Compact"/>
        <w:numPr>
          <w:ilvl w:val="0"/>
          <w:numId w:val="1001"/>
        </w:numPr>
      </w:pPr>
      <w:r>
        <w:t xml:space="preserve">Working data product: daily entries with date, time, presence/absence of spots, NG/NS counts (if visible), drawing type/quality flag, weather/seeing notes, and page references.</w:t>
      </w:r>
    </w:p>
    <w:bookmarkStart w:id="20" w:name="importance-for-farsun-isn-v3"/>
    <w:p>
      <w:pPr>
        <w:pStyle w:val="Heading4"/>
      </w:pPr>
      <w:r>
        <w:t xml:space="preserve">0.1.1 Importance (for FARSuN &amp; ISN V3)</w:t>
      </w:r>
    </w:p>
    <w:p>
      <w:pPr>
        <w:pStyle w:val="Compact"/>
        <w:numPr>
          <w:ilvl w:val="0"/>
          <w:numId w:val="1002"/>
        </w:numPr>
      </w:pPr>
      <w:r>
        <w:t xml:space="preserve">Provides dense coverage during the late Dalton Minimum (~1817 – mid-1840s), filling a critical gap in early-19th-century solar records.</w:t>
      </w:r>
    </w:p>
    <w:p>
      <w:pPr>
        <w:pStyle w:val="Compact"/>
        <w:numPr>
          <w:ilvl w:val="0"/>
          <w:numId w:val="1002"/>
        </w:numPr>
      </w:pPr>
      <w:r>
        <w:t xml:space="preserve">Includes both spotless and active days — essential for long-term continuity and low-activity baselines in the International Sunspot Number (V3).</w:t>
      </w:r>
    </w:p>
    <w:p>
      <w:pPr>
        <w:pStyle w:val="Compact"/>
        <w:numPr>
          <w:ilvl w:val="0"/>
          <w:numId w:val="1002"/>
        </w:numPr>
      </w:pPr>
      <w:r>
        <w:t xml:space="preserve">Weather and seeing information enrich the FARSuN condition table, supporting observer-bias and visibility studies.</w:t>
      </w:r>
    </w:p>
    <w:p>
      <w:pPr>
        <w:pStyle w:val="Compact"/>
        <w:numPr>
          <w:ilvl w:val="0"/>
          <w:numId w:val="1002"/>
        </w:numPr>
      </w:pPr>
      <w:r>
        <w:t xml:space="preserve">Enables cross-calibration with contemporary observers (Adams, Stark, Pastorff) to refine k-factors and reliability estimates.</w:t>
      </w:r>
    </w:p>
    <w:bookmarkEnd w:id="20"/>
    <w:bookmarkStart w:id="21" w:name="time-span-working-range"/>
    <w:p>
      <w:pPr>
        <w:pStyle w:val="Heading4"/>
      </w:pPr>
      <w:r>
        <w:t xml:space="preserve">0.1.2 Time Span (working range)</w:t>
      </w:r>
    </w:p>
    <w:p>
      <w:pPr>
        <w:pStyle w:val="Compact"/>
        <w:numPr>
          <w:ilvl w:val="0"/>
          <w:numId w:val="1003"/>
        </w:numPr>
      </w:pPr>
      <w:r>
        <w:t xml:space="preserve">Observations extend roughly 1817 – 1849 (core dense years 1824–1826 pending verification).</w:t>
      </w:r>
    </w:p>
    <w:p>
      <w:pPr>
        <w:pStyle w:val="Compact"/>
        <w:numPr>
          <w:ilvl w:val="0"/>
          <w:numId w:val="1003"/>
        </w:numPr>
      </w:pPr>
      <w:r>
        <w:t xml:space="preserve">Task under way to finalize start/end years and compile a full volume + page inventory.</w:t>
      </w:r>
    </w:p>
    <w:bookmarkEnd w:id="21"/>
    <w:bookmarkStart w:id="22" w:name="what-is-being-extracted"/>
    <w:p>
      <w:pPr>
        <w:pStyle w:val="Heading4"/>
      </w:pPr>
      <w:r>
        <w:t xml:space="preserve">0.1.3 What is being extracted</w:t>
      </w:r>
    </w:p>
    <w:p>
      <w:pPr>
        <w:pStyle w:val="Compact"/>
        <w:numPr>
          <w:ilvl w:val="0"/>
          <w:numId w:val="1004"/>
        </w:numPr>
      </w:pPr>
      <w:r>
        <w:t xml:space="preserve">Core daily parameters: date, time, spotless/active flag, NG, NS, comments, and provenance (text vs drawing).</w:t>
      </w:r>
    </w:p>
    <w:p>
      <w:pPr>
        <w:pStyle w:val="Compact"/>
        <w:numPr>
          <w:ilvl w:val="0"/>
          <w:numId w:val="1004"/>
        </w:numPr>
      </w:pPr>
      <w:r>
        <w:t xml:space="preserve">Drawing flags: schema / full-disk (indicator of counting fidelity).</w:t>
      </w:r>
    </w:p>
    <w:p>
      <w:pPr>
        <w:pStyle w:val="Compact"/>
        <w:numPr>
          <w:ilvl w:val="0"/>
          <w:numId w:val="1004"/>
        </w:numPr>
      </w:pPr>
      <w:r>
        <w:t xml:space="preserve">Contextual data: sky condition, barometer, hygrometer, temperature, method remarks.</w:t>
      </w:r>
    </w:p>
    <w:p>
      <w:pPr>
        <w:pStyle w:val="Compact"/>
        <w:numPr>
          <w:ilvl w:val="0"/>
          <w:numId w:val="1004"/>
        </w:numPr>
      </w:pPr>
      <w:r>
        <w:t xml:space="preserve">Metadata links: book / volume / page numbers, normalized image IDs, checksums.</w:t>
      </w:r>
    </w:p>
    <w:bookmarkEnd w:id="22"/>
    <w:bookmarkEnd w:id="23"/>
    <w:bookmarkStart w:id="26" w:name="current-status-oct-2025"/>
    <w:p>
      <w:pPr>
        <w:pStyle w:val="Heading3"/>
      </w:pPr>
      <w:r>
        <w:t xml:space="preserve">0.2 Current Status (Oct 2025)</w:t>
      </w:r>
    </w:p>
    <w:p>
      <w:pPr>
        <w:pStyle w:val="Compact"/>
        <w:numPr>
          <w:ilvl w:val="0"/>
          <w:numId w:val="1005"/>
        </w:numPr>
      </w:pPr>
      <w:r>
        <w:t xml:space="preserve">Data retrieval: All image scans and text snippets collected; preliminary CSV/XLSX files prepared.</w:t>
      </w:r>
    </w:p>
    <w:p>
      <w:pPr>
        <w:pStyle w:val="Compact"/>
        <w:numPr>
          <w:ilvl w:val="0"/>
          <w:numId w:val="1005"/>
        </w:numPr>
      </w:pPr>
      <w:r>
        <w:t xml:space="preserve">Digitization: Page crops and snippet images completed; Transkribus/Cloude App workflow/pipeline is prepared for Kurrent script.</w:t>
      </w:r>
    </w:p>
    <w:p>
      <w:pPr>
        <w:pStyle w:val="Compact"/>
        <w:numPr>
          <w:ilvl w:val="0"/>
          <w:numId w:val="1005"/>
        </w:numPr>
      </w:pPr>
      <w:r>
        <w:t xml:space="preserve">Counting: Double-counting verification procedure definition in progress.</w:t>
      </w:r>
    </w:p>
    <w:p>
      <w:pPr>
        <w:pStyle w:val="Compact"/>
        <w:numPr>
          <w:ilvl w:val="0"/>
          <w:numId w:val="1005"/>
        </w:numPr>
      </w:pPr>
      <w:r>
        <w:t xml:space="preserve">Quality control: Two-pass QC (survey → counting) in progress;</w:t>
      </w:r>
    </w:p>
    <w:p>
      <w:pPr>
        <w:pStyle w:val="Compact"/>
        <w:numPr>
          <w:ilvl w:val="0"/>
          <w:numId w:val="1005"/>
        </w:numPr>
      </w:pPr>
      <w:r>
        <w:t xml:space="preserve">Metadata: Observer/site/instrument registry being merged with database; VO/EPN-TAP export planned after QC completion.</w:t>
      </w:r>
    </w:p>
    <w:bookmarkStart w:id="24" w:name="quality-control-normalization"/>
    <w:p>
      <w:pPr>
        <w:pStyle w:val="Heading4"/>
      </w:pPr>
      <w:r>
        <w:t xml:space="preserve">0.2.1 Quality Control &amp; Normalization</w:t>
      </w:r>
    </w:p>
    <w:p>
      <w:pPr>
        <w:pStyle w:val="Compact"/>
        <w:numPr>
          <w:ilvl w:val="0"/>
          <w:numId w:val="1006"/>
        </w:numPr>
      </w:pPr>
      <w:r>
        <w:t xml:space="preserve">Enforce standardized filenames, date/time formats, and provenance flags.</w:t>
      </w:r>
    </w:p>
    <w:p>
      <w:pPr>
        <w:pStyle w:val="Compact"/>
        <w:numPr>
          <w:ilvl w:val="0"/>
          <w:numId w:val="1006"/>
        </w:numPr>
      </w:pPr>
      <w:r>
        <w:t xml:space="preserve">Maintain audit trail linking every image to its extracted record.</w:t>
      </w:r>
    </w:p>
    <w:p>
      <w:pPr>
        <w:pStyle w:val="Compact"/>
        <w:numPr>
          <w:ilvl w:val="0"/>
          <w:numId w:val="1006"/>
        </w:numPr>
      </w:pPr>
      <w:r>
        <w:t xml:space="preserve">Ambiguous or illegible Kurrent passages flagged for expert review; define acceptance thresholds for HTR accuracy.</w:t>
      </w:r>
    </w:p>
    <w:bookmarkEnd w:id="24"/>
    <w:bookmarkStart w:id="25" w:name="open-items"/>
    <w:p>
      <w:pPr>
        <w:pStyle w:val="Heading4"/>
      </w:pPr>
      <w:r>
        <w:t xml:space="preserve">0.2.2 Open Items</w:t>
      </w:r>
    </w:p>
    <w:p>
      <w:pPr>
        <w:pStyle w:val="FirstParagraph"/>
      </w:pPr>
      <w:r>
        <w:t xml:space="preserve">• Formalize counting policy for small in-text sketches (presence-only vs countable).</w:t>
      </w:r>
      <w:r>
        <w:t xml:space="preserve"> </w:t>
      </w:r>
      <w:r>
        <w:t xml:space="preserve">• Benchmark Transkribus/App HTR results; set minimum human-review rate.</w:t>
      </w:r>
      <w:r>
        <w:t xml:space="preserve"> </w:t>
      </w:r>
      <w:r>
        <w:t xml:space="preserve">• Identify overlaps with coeval observers for calibration validation.</w:t>
      </w:r>
    </w:p>
    <w:bookmarkEnd w:id="25"/>
    <w:bookmarkEnd w:id="26"/>
    <w:bookmarkStart w:id="27" w:name="next-steps-toward-isn-v3-integration"/>
    <w:p>
      <w:pPr>
        <w:pStyle w:val="Heading3"/>
      </w:pPr>
      <w:r>
        <w:t xml:space="preserve">0.3 Next Steps (toward ISN V3 integration)</w:t>
      </w:r>
    </w:p>
    <w:p>
      <w:pPr>
        <w:pStyle w:val="Compact"/>
        <w:numPr>
          <w:ilvl w:val="0"/>
          <w:numId w:val="1007"/>
        </w:numPr>
      </w:pPr>
      <w:r>
        <w:t xml:space="preserve">Complete survey pass → definitive daily presence/absence + drawing availability/type.</w:t>
      </w:r>
    </w:p>
    <w:p>
      <w:pPr>
        <w:pStyle w:val="Compact"/>
        <w:numPr>
          <w:ilvl w:val="0"/>
          <w:numId w:val="1007"/>
        </w:numPr>
      </w:pPr>
      <w:r>
        <w:t xml:space="preserve">Generate provisional daily NG/NS with uncertainty and provenance flags.</w:t>
      </w:r>
    </w:p>
    <w:p>
      <w:pPr>
        <w:pStyle w:val="Compact"/>
        <w:numPr>
          <w:ilvl w:val="0"/>
          <w:numId w:val="1007"/>
        </w:numPr>
      </w:pPr>
      <w:r>
        <w:t xml:space="preserve">Apply QC (dual counts, normalization, conflict resolution, metadata registry).</w:t>
      </w:r>
    </w:p>
    <w:p>
      <w:pPr>
        <w:pStyle w:val="Compact"/>
        <w:numPr>
          <w:ilvl w:val="0"/>
          <w:numId w:val="1007"/>
        </w:numPr>
      </w:pPr>
      <w:r>
        <w:t xml:space="preserve">Perform inter-observer calibration and bias checks.</w:t>
      </w:r>
    </w:p>
    <w:p>
      <w:pPr>
        <w:pStyle w:val="Compact"/>
        <w:numPr>
          <w:ilvl w:val="0"/>
          <w:numId w:val="1007"/>
        </w:numPr>
      </w:pPr>
      <w:r>
        <w:t xml:space="preserve">Publish FAIR, VO-ready tables (daily counts + condition data + image catalog) via ROB/SILSO.</w:t>
      </w:r>
    </w:p>
    <w:p>
      <w:pPr>
        <w:pStyle w:val="FirstParagraph"/>
      </w:pPr>
      <w:r>
        <w:t xml:space="preserve">Gruithuisen’s manuscripts offer a long, context-rich, early-19th-century record of solar and meteorological activity. With extraction, QC nearly complete, this dataset is poised to become a cornerstone for ISN V3 calibration and uncertainty modeling within the FARSuN project.</w:t>
      </w:r>
    </w:p>
    <w:bookmarkEnd w:id="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Gruithuisen Data</dc:title>
  <dc:creator/>
  <cp:keywords/>
  <dcterms:created xsi:type="dcterms:W3CDTF">2025-10-20T12:30:31Z</dcterms:created>
  <dcterms:modified xsi:type="dcterms:W3CDTF">2025-10-20T12:30:31Z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xecute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