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Zürich 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Zürich Tables are the internal source ledgers used at the Eidgenössische Sternwarte Zürich to construct the official daily sunspot number during the post-war era. They record, per observer and per day, the raw groups (G) and spots (S), the adopted Wolf/Zürich number R = k(10G+S), and notes on substitutions, weather/seeing, and instruments. The Waldmeier</w:t>
      </w:r>
      <w:r>
        <w:t xml:space="preserve"> </w:t>
      </w:r>
      <w:r>
        <w:t xml:space="preserve">“primary”</w:t>
      </w:r>
      <w:r>
        <w:t xml:space="preserve"> </w:t>
      </w:r>
      <w:r>
        <w:t xml:space="preserve">tables are especially informative about which value was used and why.</w:t>
      </w:r>
    </w:p>
    <w:bookmarkStart w:id="20" w:name="time-span"/>
    <w:p>
      <w:pPr>
        <w:pStyle w:val="Heading3"/>
      </w:pPr>
      <w:r>
        <w:t xml:space="preserve">Time span</w:t>
      </w:r>
    </w:p>
    <w:p>
      <w:pPr>
        <w:pStyle w:val="FirstParagraph"/>
      </w:pPr>
      <w:r>
        <w:t xml:space="preserve">1945–1979 (scanned sets ~2,000+ tables). Locating/encoding 1980 is a stated goal to bridge to the Brussels era (1981–).</w:t>
      </w:r>
    </w:p>
    <w:bookmarkEnd w:id="20"/>
    <w:bookmarkStart w:id="21" w:name="zürich-tables-are"/>
    <w:p>
      <w:pPr>
        <w:pStyle w:val="Heading3"/>
      </w:pPr>
      <w:r>
        <w:t xml:space="preserve">Zürich Tables are:</w:t>
      </w:r>
    </w:p>
    <w:p>
      <w:pPr>
        <w:pStyle w:val="Compact"/>
        <w:numPr>
          <w:ilvl w:val="0"/>
          <w:numId w:val="1001"/>
        </w:numPr>
      </w:pPr>
      <w:r>
        <w:t xml:space="preserve">Only day-level documentary trail of how Zürich actually derived R (observer selection, k-factors, alternates).</w:t>
      </w:r>
    </w:p>
    <w:p>
      <w:pPr>
        <w:pStyle w:val="Compact"/>
        <w:numPr>
          <w:ilvl w:val="0"/>
          <w:numId w:val="1001"/>
        </w:numPr>
      </w:pPr>
      <w:r>
        <w:t xml:space="preserve">Essential evidence for diagnosing and quantifying the 1947 discontinuity.</w:t>
      </w:r>
    </w:p>
    <w:p>
      <w:pPr>
        <w:pStyle w:val="Compact"/>
        <w:numPr>
          <w:ilvl w:val="0"/>
          <w:numId w:val="1001"/>
        </w:numPr>
      </w:pPr>
      <w:r>
        <w:t xml:space="preserve">Anchor for observer chaining and scaling in 1945–1979; supports uncertainty models and hemispheric series.</w:t>
      </w:r>
    </w:p>
    <w:p>
      <w:pPr>
        <w:pStyle w:val="Compact"/>
        <w:numPr>
          <w:ilvl w:val="0"/>
          <w:numId w:val="1001"/>
        </w:numPr>
      </w:pPr>
      <w:r>
        <w:t xml:space="preserve">Provides links to contemporaneous drawings (e.g., USET) for positional/area cross-checks.</w:t>
      </w:r>
    </w:p>
    <w:bookmarkEnd w:id="21"/>
    <w:bookmarkStart w:id="27" w:name="current-status-farsun"/>
    <w:p>
      <w:pPr>
        <w:pStyle w:val="Heading2"/>
      </w:pPr>
      <w:r>
        <w:t xml:space="preserve">Current Status (FARSuN)</w:t>
      </w:r>
    </w:p>
    <w:bookmarkStart w:id="22" w:name="data-retrieval-recovery"/>
    <w:p>
      <w:pPr>
        <w:pStyle w:val="Heading3"/>
      </w:pPr>
      <w:r>
        <w:t xml:space="preserve">Data retrieval &amp; recovery</w:t>
      </w:r>
    </w:p>
    <w:p>
      <w:pPr>
        <w:pStyle w:val="Compact"/>
        <w:numPr>
          <w:ilvl w:val="0"/>
          <w:numId w:val="1002"/>
        </w:numPr>
      </w:pPr>
      <w:r>
        <w:t xml:space="preserve">ETH scans secured; internal working copies curated.</w:t>
      </w:r>
    </w:p>
    <w:p>
      <w:pPr>
        <w:pStyle w:val="Compact"/>
        <w:numPr>
          <w:ilvl w:val="0"/>
          <w:numId w:val="1002"/>
        </w:numPr>
      </w:pPr>
      <w:r>
        <w:t xml:space="preserve">The late-2010s recovery of Waldmeier tables closes a critical raw-data gap.</w:t>
      </w:r>
    </w:p>
    <w:bookmarkEnd w:id="22"/>
    <w:bookmarkStart w:id="23" w:name="digitization"/>
    <w:p>
      <w:pPr>
        <w:pStyle w:val="Heading3"/>
      </w:pPr>
      <w:r>
        <w:t xml:space="preserve">Digitization</w:t>
      </w:r>
    </w:p>
    <w:p>
      <w:pPr>
        <w:pStyle w:val="Compact"/>
        <w:numPr>
          <w:ilvl w:val="0"/>
          <w:numId w:val="1003"/>
        </w:numPr>
      </w:pPr>
      <w:r>
        <w:t xml:space="preserve">Core G, S, R encoded for 1945–1979.</w:t>
      </w:r>
    </w:p>
    <w:p>
      <w:pPr>
        <w:pStyle w:val="Compact"/>
        <w:numPr>
          <w:ilvl w:val="0"/>
          <w:numId w:val="1003"/>
        </w:numPr>
      </w:pPr>
      <w:r>
        <w:t xml:space="preserve">Rich metadata (observer, instrument, notes) encoded for 1945–1950; remaining years in progress.</w:t>
      </w:r>
    </w:p>
    <w:p>
      <w:pPr>
        <w:pStyle w:val="Compact"/>
        <w:numPr>
          <w:ilvl w:val="0"/>
          <w:numId w:val="1003"/>
        </w:numPr>
      </w:pPr>
      <w:r>
        <w:t xml:space="preserve">Layout differences handled with tailored templates.</w:t>
      </w:r>
    </w:p>
    <w:p>
      <w:pPr>
        <w:pStyle w:val="Compact"/>
        <w:numPr>
          <w:ilvl w:val="0"/>
          <w:numId w:val="1003"/>
        </w:numPr>
      </w:pPr>
      <w:r>
        <w:t xml:space="preserve">Initial linkage to USET drawings underway.</w:t>
      </w:r>
    </w:p>
    <w:bookmarkEnd w:id="23"/>
    <w:bookmarkStart w:id="24" w:name="quality-control"/>
    <w:p>
      <w:pPr>
        <w:pStyle w:val="Heading3"/>
      </w:pPr>
      <w:r>
        <w:t xml:space="preserve">Quality control</w:t>
      </w:r>
    </w:p>
    <w:p>
      <w:pPr>
        <w:pStyle w:val="Compact"/>
        <w:numPr>
          <w:ilvl w:val="0"/>
          <w:numId w:val="1004"/>
        </w:numPr>
      </w:pPr>
      <w:r>
        <w:t xml:space="preserve">Normalizing observer identities/aliases; separating person / instrument / observatory in the DB.</w:t>
      </w:r>
    </w:p>
    <w:p>
      <w:pPr>
        <w:pStyle w:val="Compact"/>
        <w:numPr>
          <w:ilvl w:val="0"/>
          <w:numId w:val="1004"/>
        </w:numPr>
      </w:pPr>
      <w:r>
        <w:t xml:space="preserve">Cross-checking rubric/page vs. scans; anomaly flags (e.g., 1947 low coverage).</w:t>
      </w:r>
    </w:p>
    <w:p>
      <w:pPr>
        <w:pStyle w:val="Compact"/>
        <w:numPr>
          <w:ilvl w:val="0"/>
          <w:numId w:val="1004"/>
        </w:numPr>
      </w:pPr>
      <w:r>
        <w:t xml:space="preserve">Comparative audits of daily G, S, R; database views support change tracking.</w:t>
      </w:r>
    </w:p>
    <w:bookmarkEnd w:id="24"/>
    <w:bookmarkStart w:id="25" w:name="metadata-model"/>
    <w:p>
      <w:pPr>
        <w:pStyle w:val="Heading3"/>
      </w:pPr>
      <w:r>
        <w:t xml:space="preserve">Metadata model</w:t>
      </w:r>
    </w:p>
    <w:p>
      <w:pPr>
        <w:pStyle w:val="Compact"/>
        <w:numPr>
          <w:ilvl w:val="0"/>
          <w:numId w:val="1005"/>
        </w:numPr>
      </w:pPr>
      <w:r>
        <w:t xml:space="preserve">Dedicated tables for person, instrument, observatory; draft condition/quality fields (method, seeing, projection).</w:t>
      </w:r>
    </w:p>
    <w:p>
      <w:pPr>
        <w:pStyle w:val="Compact"/>
        <w:numPr>
          <w:ilvl w:val="0"/>
          <w:numId w:val="1005"/>
        </w:numPr>
      </w:pPr>
      <w:r>
        <w:t xml:space="preserve">Provenance preserved (source IDs, pages, scan references).</w:t>
      </w:r>
    </w:p>
    <w:bookmarkEnd w:id="25"/>
    <w:bookmarkStart w:id="26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06"/>
        </w:numPr>
      </w:pPr>
      <w:r>
        <w:t xml:space="preserve">Hosted in the historical sunspot observations database;</w:t>
      </w:r>
    </w:p>
    <w:p>
      <w:pPr>
        <w:pStyle w:val="Compact"/>
        <w:numPr>
          <w:ilvl w:val="0"/>
          <w:numId w:val="1006"/>
        </w:numPr>
      </w:pPr>
      <w:r>
        <w:t xml:space="preserve">Publication target: VO/EPN-TAP with standardized metadata;</w:t>
      </w:r>
    </w:p>
    <w:p>
      <w:pPr>
        <w:pStyle w:val="Compact"/>
        <w:numPr>
          <w:ilvl w:val="0"/>
          <w:numId w:val="1006"/>
        </w:numPr>
      </w:pPr>
      <w:r>
        <w:t xml:space="preserve">Citizen-science Streamlit prototype for transcription/validation.</w:t>
      </w:r>
    </w:p>
    <w:bookmarkEnd w:id="26"/>
    <w:bookmarkEnd w:id="27"/>
    <w:bookmarkStart w:id="28" w:name="next-steps-focused-actionable"/>
    <w:p>
      <w:pPr>
        <w:pStyle w:val="Heading2"/>
      </w:pPr>
      <w:r>
        <w:t xml:space="preserve">Next Steps (Focused, Actionable)</w:t>
      </w:r>
    </w:p>
    <w:p>
      <w:pPr>
        <w:pStyle w:val="Compact"/>
        <w:numPr>
          <w:ilvl w:val="0"/>
          <w:numId w:val="1007"/>
        </w:numPr>
      </w:pPr>
      <w:r>
        <w:t xml:space="preserve">Finish metadata pass (1951–1979) using the finalized condition schema.</w:t>
      </w:r>
    </w:p>
    <w:p>
      <w:pPr>
        <w:pStyle w:val="Compact"/>
        <w:numPr>
          <w:ilvl w:val="0"/>
          <w:numId w:val="1007"/>
        </w:numPr>
      </w:pPr>
      <w:r>
        <w:t xml:space="preserve">Confirm/ingest 1980 Zürich material (or document gap + statistical bridge).</w:t>
      </w:r>
    </w:p>
    <w:p>
      <w:pPr>
        <w:pStyle w:val="Compact"/>
        <w:numPr>
          <w:ilvl w:val="0"/>
          <w:numId w:val="1007"/>
        </w:numPr>
      </w:pPr>
      <w:r>
        <w:t xml:space="preserve">Publish an Observer Authority File (IDs, aliases, instruments, active periods).</w:t>
      </w:r>
    </w:p>
    <w:p>
      <w:pPr>
        <w:pStyle w:val="Compact"/>
        <w:numPr>
          <w:ilvl w:val="0"/>
          <w:numId w:val="1007"/>
        </w:numPr>
      </w:pPr>
      <w:r>
        <w:t xml:space="preserve">Automate provenance round-trip (cell-level image snippets, page hashes).</w:t>
      </w:r>
    </w:p>
    <w:p>
      <w:pPr>
        <w:pStyle w:val="Compact"/>
        <w:numPr>
          <w:ilvl w:val="0"/>
          <w:numId w:val="1007"/>
        </w:numPr>
      </w:pPr>
      <w:r>
        <w:t xml:space="preserve">Re-estimate k-factors for key observers with robust/Bayesian methods.</w:t>
      </w:r>
    </w:p>
    <w:p>
      <w:pPr>
        <w:pStyle w:val="Compact"/>
        <w:numPr>
          <w:ilvl w:val="0"/>
          <w:numId w:val="1007"/>
        </w:numPr>
      </w:pPr>
      <w:r>
        <w:t xml:space="preserve">Deep-dive 1947 using day-level substitutions and coverage diagnostics.</w:t>
      </w:r>
    </w:p>
    <w:p>
      <w:pPr>
        <w:pStyle w:val="Compact"/>
        <w:numPr>
          <w:ilvl w:val="0"/>
          <w:numId w:val="1007"/>
        </w:numPr>
      </w:pPr>
      <w:r>
        <w:t xml:space="preserve">Scale up drawing links (USET↔Zürich) to validate counts vs. areas/positions.</w:t>
      </w:r>
    </w:p>
    <w:p>
      <w:pPr>
        <w:pStyle w:val="Compact"/>
        <w:numPr>
          <w:ilvl w:val="0"/>
          <w:numId w:val="1007"/>
        </w:numPr>
      </w:pPr>
      <w:r>
        <w:t xml:space="preserve">Stage releases: (a) daily R + flags, (b) per-observer G,S,k + metadata, (c) derived calibration products, all via EPN-TAP/DOI.</w:t>
      </w:r>
    </w:p>
    <w:p>
      <w:pPr>
        <w:pStyle w:val="Compact"/>
        <w:numPr>
          <w:ilvl w:val="0"/>
          <w:numId w:val="1007"/>
        </w:numPr>
      </w:pPr>
      <w:r>
        <w:t xml:space="preserve">Citizen-science v2: pairwise validation, observer disambiguation, instrument tagging.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Zürich Tables</dc:title>
  <dc:creator/>
  <cp:keywords/>
  <dcterms:created xsi:type="dcterms:W3CDTF">2025-10-20T12:31:15Z</dcterms:created>
  <dcterms:modified xsi:type="dcterms:W3CDTF">2025-10-20T12:31:15Z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