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Combined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hyperlink r:id="rId20">
        <w:r>
          <w:rPr>
            <w:rStyle w:val="Hyperlink"/>
          </w:rPr>
          <w:t xml:space="preserve">Mittheilugen Data</w:t>
        </w:r>
      </w:hyperlink>
      <w:r>
        <w:t xml:space="preserve"> </w:t>
      </w:r>
      <w:r>
        <w:t xml:space="preserve">is the primary source of sunspot data. There are 122 observers in Mittheilungen data (Brunner has multiple FK_OBSERVERS IDs). Some of the observers data has been recounted with availablity of new data sources (From</w:t>
      </w:r>
      <w:r>
        <w:t xml:space="preserve"> </w:t>
      </w:r>
      <w:hyperlink r:id="rId21">
        <w:r>
          <w:rPr>
            <w:rStyle w:val="Hyperlink"/>
          </w:rPr>
          <w:t xml:space="preserve">Source Book Data</w:t>
        </w:r>
      </w:hyperlink>
      <w:r>
        <w:t xml:space="preserve"> </w:t>
      </w:r>
      <w:r>
        <w:t xml:space="preserve">as well from other sources by different authors (refere table 1 from shreya2023 paper)), also new data of sunspot observations have been discovered. To make combined data of sunspot observations, new data sets are added and some modifications are done, based on the source book data to the Mittheilugen data.</w:t>
      </w:r>
    </w:p>
    <w:bookmarkEnd w:id="22"/>
    <w:bookmarkStart w:id="25" w:name="modifications-in-mittheilungen-data"/>
    <w:p>
      <w:pPr>
        <w:pStyle w:val="Heading2"/>
      </w:pPr>
      <w:r>
        <w:t xml:space="preserve">2 Modifications in Mittheilungen Data</w:t>
      </w:r>
    </w:p>
    <w:p>
      <w:pPr>
        <w:pStyle w:val="Compact"/>
        <w:numPr>
          <w:ilvl w:val="0"/>
          <w:numId w:val="1001"/>
        </w:numPr>
      </w:pPr>
      <w:r>
        <w:t xml:space="preserve">Merged dataset with SNV1 data (before grouping).</w:t>
      </w:r>
    </w:p>
    <w:p>
      <w:pPr>
        <w:pStyle w:val="Compact"/>
        <w:numPr>
          <w:ilvl w:val="0"/>
          <w:numId w:val="1001"/>
        </w:numPr>
      </w:pPr>
      <w:r>
        <w:t xml:space="preserve">Filter observer 36(Carrington) by FK_RUBRICS =43 (Explore).</w:t>
      </w:r>
    </w:p>
    <w:p>
      <w:pPr>
        <w:pStyle w:val="Compact"/>
        <w:numPr>
          <w:ilvl w:val="0"/>
          <w:numId w:val="1001"/>
        </w:numPr>
      </w:pPr>
      <w:r>
        <w:t xml:space="preserve">Process observer 30 (Airy) and create observer 310 (Main from Airy): The code creates a new observer (ID 310, alias</w:t>
      </w:r>
      <w:r>
        <w:t xml:space="preserve"> </w:t>
      </w:r>
      <w:r>
        <w:t xml:space="preserve">“Main”</w:t>
      </w:r>
      <w:r>
        <w:t xml:space="preserve">) from a subset of Airy’s (ID 30) observations between 1850 and 1853. It then modifies the original Airy data to retain only observations between 1858 and 1861 and updates the alias to</w:t>
      </w:r>
      <w:r>
        <w:t xml:space="preserve"> </w:t>
      </w:r>
      <w:r>
        <w:t xml:space="preserve">“Airy (various observers)”</w:t>
      </w:r>
      <w:r>
        <w:t xml:space="preserve">. This process effectively splits the original Airy data into two separate observer entries in the</w:t>
      </w:r>
      <w:r>
        <w:t xml:space="preserve"> </w:t>
      </w:r>
      <w:r>
        <w:rPr>
          <w:rStyle w:val="VerbatimChar"/>
        </w:rPr>
        <w:t xml:space="preserve">observer_groups</w:t>
      </w:r>
      <w:r>
        <w:t xml:space="preserve"> </w:t>
      </w:r>
      <w:r>
        <w:t xml:space="preserve">dictionary, reflecting different periods and potentially different contributors to the observations.</w:t>
      </w:r>
    </w:p>
    <w:p>
      <w:pPr>
        <w:pStyle w:val="Compact"/>
        <w:numPr>
          <w:ilvl w:val="0"/>
          <w:numId w:val="1001"/>
        </w:numPr>
      </w:pPr>
      <w:r>
        <w:t xml:space="preserve">Truncate observer 177 data (before=</w:t>
      </w:r>
      <w:r>
        <w:t xml:space="preserve">“1925-01-01”</w:t>
      </w:r>
      <w:r>
        <w:t xml:space="preserve">, after=</w:t>
      </w:r>
      <w:r>
        <w:t xml:space="preserve">“1946-01-01”</w:t>
      </w:r>
      <w:r>
        <w:t xml:space="preserve">)</w:t>
      </w:r>
    </w:p>
    <w:p>
      <w:pPr>
        <w:pStyle w:val="Compact"/>
        <w:numPr>
          <w:ilvl w:val="0"/>
          <w:numId w:val="1001"/>
        </w:numPr>
      </w:pPr>
      <w:r>
        <w:t xml:space="preserve">Handle Williston Observatory (ID 150) merger into ID 142</w:t>
      </w:r>
    </w:p>
    <w:p>
      <w:pPr>
        <w:pStyle w:val="Compact"/>
        <w:numPr>
          <w:ilvl w:val="0"/>
          <w:numId w:val="1001"/>
        </w:numPr>
      </w:pPr>
      <w:r>
        <w:t xml:space="preserve">Remove mixed Wolf data (observer ID 2) from Mittheilugen data and the same from Source Book Data.</w:t>
      </w:r>
    </w:p>
    <w:p>
      <w:pPr>
        <w:pStyle w:val="Compact"/>
        <w:numPr>
          <w:ilvl w:val="0"/>
          <w:numId w:val="1001"/>
        </w:numPr>
      </w:pPr>
      <w:r>
        <w:t xml:space="preserve">Filter out unrealistic group counts (15 is maximum group count)</w:t>
      </w:r>
    </w:p>
    <w:p>
      <w:pPr>
        <w:pStyle w:val="Compact"/>
        <w:numPr>
          <w:ilvl w:val="0"/>
          <w:numId w:val="1001"/>
        </w:numPr>
      </w:pPr>
      <w:r>
        <w:t xml:space="preserve">Data of observers that are already in Mittheilungen data, that are replaced from new sources or recounting are listed in</w:t>
      </w:r>
      <w:r>
        <w:t xml:space="preserve"> </w:t>
      </w:r>
      <w:hyperlink w:anchor="tbl-supplemental-data">
        <w:r>
          <w:rPr>
            <w:rStyle w:val="Hyperlink"/>
          </w:rPr>
          <w:t xml:space="preserve">Table 1</w:t>
        </w:r>
      </w:hyperlink>
    </w:p>
    <w:tbl>
      <w:tblPr>
        <w:tblStyle w:val="Table"/>
        <w:tblW w:type="pct" w:w="5000"/>
        <w:tblLayout w:type="fixed"/>
        <w:tblLook w:firstRow="0" w:lastRow="0" w:firstColumn="0" w:lastColumn="0" w:noHBand="0" w:noVBand="0" w:val="0000"/>
      </w:tblPr>
      <w:tblGrid>
        <w:gridCol w:w="7920"/>
      </w:tblGrid>
      <w:tr>
        <w:tc>
          <w:tcPr/>
          <w:bookmarkStart w:id="23" w:name="tbl-supplemental-data"/>
          <w:p>
            <w:pPr>
              <w:jc w:val="center"/>
            </w:pPr>
            <w:pPr>
              <w:jc w:val="start"/>
              <w:spacing w:before="200"/>
              <w:pStyle w:val="ImageCaption"/>
            </w:pPr>
            <w:r>
              <w:t xml:space="preserve">Table 1: Supplementary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139</w:t>
                  </w:r>
                </w:p>
              </w:tc>
              <w:tc>
                <w:tcPr/>
                <w:p>
                  <w:pPr>
                    <w:pStyle w:val="Compact"/>
                    <w:jc w:val="left"/>
                    <w:jc w:val="center"/>
                  </w:pPr>
                  <w:r>
                    <w:t xml:space="preserve">“stempell”</w:t>
                  </w:r>
                </w:p>
              </w:tc>
            </w:tr>
            <w:tr>
              <w:tc>
                <w:tcPr/>
                <w:p>
                  <w:pPr>
                    <w:pStyle w:val="Compact"/>
                    <w:jc w:val="left"/>
                    <w:jc w:val="center"/>
                  </w:pPr>
                  <w:r>
                    <w:t xml:space="preserve">114</w:t>
                  </w:r>
                </w:p>
              </w:tc>
              <w:tc>
                <w:tcPr/>
                <w:p>
                  <w:pPr>
                    <w:pStyle w:val="Compact"/>
                    <w:jc w:val="left"/>
                    <w:jc w:val="center"/>
                  </w:pPr>
                  <w:r>
                    <w:t xml:space="preserve">“woinoff”</w:t>
                  </w:r>
                </w:p>
              </w:tc>
            </w:tr>
            <w:tr>
              <w:tc>
                <w:tcPr/>
                <w:p>
                  <w:pPr>
                    <w:pStyle w:val="Compact"/>
                    <w:jc w:val="left"/>
                    <w:jc w:val="center"/>
                  </w:pPr>
                  <w:r>
                    <w:t xml:space="preserve">78</w:t>
                  </w:r>
                </w:p>
              </w:tc>
              <w:tc>
                <w:tcPr/>
                <w:p>
                  <w:pPr>
                    <w:pStyle w:val="Compact"/>
                    <w:jc w:val="left"/>
                    <w:jc w:val="center"/>
                  </w:pPr>
                  <w:r>
                    <w:t xml:space="preserve">“schwab”</w:t>
                  </w:r>
                </w:p>
              </w:tc>
            </w:tr>
            <w:tr>
              <w:tc>
                <w:tcPr/>
                <w:p>
                  <w:pPr>
                    <w:pStyle w:val="Compact"/>
                    <w:jc w:val="left"/>
                    <w:jc w:val="center"/>
                  </w:pPr>
                  <w:r>
                    <w:t xml:space="preserve">77</w:t>
                  </w:r>
                </w:p>
              </w:tc>
              <w:tc>
                <w:tcPr/>
                <w:p>
                  <w:pPr>
                    <w:pStyle w:val="Compact"/>
                    <w:jc w:val="left"/>
                    <w:jc w:val="center"/>
                  </w:pPr>
                  <w:r>
                    <w:t xml:space="preserve">“quimby”</w:t>
                  </w:r>
                </w:p>
              </w:tc>
            </w:tr>
            <w:tr>
              <w:tc>
                <w:tcPr/>
                <w:p>
                  <w:pPr>
                    <w:pStyle w:val="Compact"/>
                    <w:jc w:val="left"/>
                    <w:jc w:val="center"/>
                  </w:pPr>
                  <w:r>
                    <w:t xml:space="preserve">57</w:t>
                  </w:r>
                </w:p>
              </w:tc>
              <w:tc>
                <w:tcPr/>
                <w:p>
                  <w:pPr>
                    <w:pStyle w:val="Compact"/>
                    <w:jc w:val="left"/>
                    <w:jc w:val="center"/>
                  </w:pPr>
                  <w:r>
                    <w:t xml:space="preserve">“ventosa”</w:t>
                  </w:r>
                </w:p>
              </w:tc>
            </w:tr>
          </w:tbl>
          <w:bookmarkEnd w:id="23"/>
          <w:p/>
        </w:tc>
      </w:tr>
    </w:tbl>
    <w:p>
      <w:pPr>
        <w:pStyle w:val="Compact"/>
        <w:numPr>
          <w:ilvl w:val="0"/>
          <w:numId w:val="1002"/>
        </w:numPr>
      </w:pPr>
      <w:r>
        <w:t xml:space="preserve">Some data sets that are not originally in Mittheilugen data are that are included in the combined data are Misawa, Arlt, Tevel, Spoerer, and Teague data. New data sets are listed in</w:t>
      </w:r>
      <w:r>
        <w:t xml:space="preserve"> </w:t>
      </w:r>
      <w:hyperlink w:anchor="tbl-specialized-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tbl-specialized-data"/>
          <w:p>
            <w:pPr>
              <w:jc w:val="center"/>
            </w:pPr>
            <w:pPr>
              <w:jc w:val="start"/>
              <w:spacing w:before="200"/>
              <w:pStyle w:val="ImageCaption"/>
            </w:pPr>
            <w:r>
              <w:t xml:space="preserve">Table 2: Specialized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1004</w:t>
                  </w:r>
                </w:p>
              </w:tc>
              <w:tc>
                <w:tcPr/>
                <w:p>
                  <w:pPr>
                    <w:pStyle w:val="Compact"/>
                    <w:jc w:val="left"/>
                    <w:jc w:val="center"/>
                  </w:pPr>
                  <w:r>
                    <w:t xml:space="preserve">“Misawa”</w:t>
                  </w:r>
                </w:p>
              </w:tc>
            </w:tr>
            <w:tr>
              <w:tc>
                <w:tcPr/>
                <w:p>
                  <w:pPr>
                    <w:pStyle w:val="Compact"/>
                    <w:jc w:val="left"/>
                    <w:jc w:val="center"/>
                  </w:pPr>
                  <w:r>
                    <w:t xml:space="preserve">1000</w:t>
                  </w:r>
                </w:p>
              </w:tc>
              <w:tc>
                <w:tcPr/>
                <w:p>
                  <w:pPr>
                    <w:pStyle w:val="Compact"/>
                    <w:jc w:val="left"/>
                    <w:jc w:val="center"/>
                  </w:pPr>
                  <w:r>
                    <w:t xml:space="preserve">“Schwabe_Arlt”</w:t>
                  </w:r>
                </w:p>
              </w:tc>
            </w:tr>
            <w:tr>
              <w:tc>
                <w:tcPr/>
                <w:p>
                  <w:pPr>
                    <w:pStyle w:val="Compact"/>
                    <w:jc w:val="left"/>
                    <w:jc w:val="center"/>
                  </w:pPr>
                  <w:r>
                    <w:t xml:space="preserve">1001</w:t>
                  </w:r>
                </w:p>
              </w:tc>
              <w:tc>
                <w:tcPr/>
                <w:p>
                  <w:pPr>
                    <w:pStyle w:val="Compact"/>
                    <w:jc w:val="left"/>
                    <w:jc w:val="center"/>
                  </w:pPr>
                  <w:r>
                    <w:t xml:space="preserve">“Tevel(Carassco)”</w:t>
                  </w:r>
                </w:p>
              </w:tc>
            </w:tr>
            <w:tr>
              <w:tc>
                <w:tcPr/>
                <w:p>
                  <w:pPr>
                    <w:pStyle w:val="Compact"/>
                    <w:jc w:val="left"/>
                    <w:jc w:val="center"/>
                  </w:pPr>
                  <w:r>
                    <w:t xml:space="preserve">1002</w:t>
                  </w:r>
                </w:p>
              </w:tc>
              <w:tc>
                <w:tcPr/>
                <w:p>
                  <w:pPr>
                    <w:pStyle w:val="Compact"/>
                    <w:jc w:val="left"/>
                    <w:jc w:val="center"/>
                  </w:pPr>
                  <w:r>
                    <w:t xml:space="preserve">“Spoerer (recounted)”</w:t>
                  </w:r>
                </w:p>
              </w:tc>
            </w:tr>
            <w:tr>
              <w:tc>
                <w:tcPr/>
                <w:p>
                  <w:pPr>
                    <w:pStyle w:val="Compact"/>
                    <w:jc w:val="left"/>
                    <w:jc w:val="center"/>
                  </w:pPr>
                  <w:r>
                    <w:t xml:space="preserve">1003</w:t>
                  </w:r>
                </w:p>
              </w:tc>
              <w:tc>
                <w:tcPr/>
                <w:p>
                  <w:pPr>
                    <w:pStyle w:val="Compact"/>
                    <w:jc w:val="left"/>
                    <w:jc w:val="center"/>
                  </w:pPr>
                  <w:r>
                    <w:t xml:space="preserve">“Carrington Teague”</w:t>
                  </w:r>
                </w:p>
              </w:tc>
            </w:tr>
          </w:tbl>
          <w:bookmarkEnd w:id="24"/>
          <w:p/>
        </w:tc>
      </w:tr>
    </w:tbl>
    <w:bookmarkEnd w:id="25"/>
    <w:bookmarkStart w:id="26" w:name="all-combined-data"/>
    <w:p>
      <w:pPr>
        <w:pStyle w:val="Heading2"/>
      </w:pPr>
      <w:r>
        <w:t xml:space="preserve">3 All Combined Data</w:t>
      </w:r>
    </w:p>
    <w:p>
      <w:pPr>
        <w:pStyle w:val="SourceCode"/>
      </w:pPr>
      <w:r>
        <w:br/>
      </w:r>
      <w:r>
        <w:rPr>
          <w:rStyle w:val="VerbatimChar"/>
        </w:rPr>
        <w:t xml:space="preserve">==================================================</w:t>
      </w:r>
      <w:r>
        <w:br/>
      </w:r>
      <w:r>
        <w:rPr>
          <w:rStyle w:val="VerbatimChar"/>
        </w:rPr>
        <w:t xml:space="preserve">OBSERVER STATISTICS</w:t>
      </w:r>
      <w:r>
        <w:br/>
      </w:r>
      <w:r>
        <w:rPr>
          <w:rStyle w:val="VerbatimChar"/>
        </w:rPr>
        <w:t xml:space="preserve">==================================================</w:t>
      </w:r>
      <w:r>
        <w:br/>
      </w:r>
      <w:r>
        <w:br/>
      </w:r>
      <w:r>
        <w:rPr>
          <w:rStyle w:val="VerbatimChar"/>
        </w:rPr>
        <w:t xml:space="preserve">Total unique observers: 125</w:t>
      </w:r>
      <w:r>
        <w:br/>
      </w:r>
      <w:r>
        <w:rPr>
          <w:rStyle w:val="VerbatimChar"/>
        </w:rPr>
        <w:t xml:space="preserve">Observation period: 1816-04-05 00:00:00 to 1944-12-31 00:00:00</w:t>
      </w:r>
      <w:r>
        <w:br/>
      </w:r>
      <w:r>
        <w:rPr>
          <w:rStyle w:val="VerbatimChar"/>
        </w:rPr>
        <w:t xml:space="preserve">Total observation span: 128.7 years</w:t>
      </w:r>
    </w:p>
    <w:p>
      <w:pPr>
        <w:pStyle w:val="SourceCode"/>
      </w:pPr>
      <w:r>
        <w:rPr>
          <w:rStyle w:val="VerbatimChar"/>
        </w:rPr>
        <w:t xml:space="preserve">Number of Observers by FK_OBSERVERS: 125</w:t>
      </w:r>
      <w:r>
        <w:br/>
      </w:r>
      <w:r>
        <w:rPr>
          <w:rStyle w:val="VerbatimChar"/>
        </w:rPr>
        <w:t xml:space="preserve">Number of observers by ALIAS: 125</w:t>
      </w:r>
    </w:p>
    <w:bookmarkEnd w:id="26"/>
    <w:bookmarkStart w:id="31" w:name="timeline-of-the-observers"/>
    <w:p>
      <w:pPr>
        <w:pStyle w:val="Heading2"/>
      </w:pPr>
      <w:r>
        <w:t xml:space="preserve">4 Timeline of the observers</w:t>
      </w:r>
    </w:p>
    <w:p>
      <w:pPr>
        <w:pStyle w:val="FirstParagraph"/>
      </w:pPr>
      <w:hyperlink w:anchor="fig-plot_observer_timeline_all_combined">
        <w:r>
          <w:rPr>
            <w:rStyle w:val="Hyperlink"/>
          </w:rPr>
          <w:t xml:space="preserve">Figure 1</w:t>
        </w:r>
      </w:hyperlink>
      <w:r>
        <w:t xml:space="preserve"> </w:t>
      </w:r>
      <w:r>
        <w:t xml:space="preserve">is a timeline showing the start and</w:t>
      </w:r>
      <w:r>
        <w:t xml:space="preserve"> </w:t>
      </w:r>
      <w:r>
        <w:t xml:space="preserve">end date of observations of the observers in the combined data.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30" w:name="fig-plot_observer_timeline_all_combined"/>
          <w:p>
            <w:pPr>
              <w:pStyle w:val="Compact"/>
              <w:jc w:val="center"/>
            </w:pPr>
            <w:r>
              <w:drawing>
                <wp:inline>
                  <wp:extent cx="5334000" cy="13390951"/>
                  <wp:effectExtent b="0" l="0" r="0" t="0"/>
                  <wp:docPr descr="" title="" id="28" name="Picture"/>
                  <a:graphic>
                    <a:graphicData uri="http://schemas.openxmlformats.org/drawingml/2006/picture">
                      <pic:pic>
                        <pic:nvPicPr>
                          <pic:cNvPr descr="all_combined_data_files/figure-docx/fig-plot_observer_timeline_all_combined-output-1.png" id="29" name="Picture"/>
                          <pic:cNvPicPr>
                            <a:picLocks noChangeArrowheads="1" noChangeAspect="1"/>
                          </pic:cNvPicPr>
                        </pic:nvPicPr>
                        <pic:blipFill>
                          <a:blip r:embed="rId27"/>
                          <a:stretch>
                            <a:fillRect/>
                          </a:stretch>
                        </pic:blipFill>
                        <pic:spPr bwMode="auto">
                          <a:xfrm>
                            <a:off x="0" y="0"/>
                            <a:ext cx="5334000" cy="133909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showing actual observation days for all observers in the cobined data</w:t>
            </w:r>
          </w:p>
          <w:bookmarkEnd w:id="30"/>
        </w:tc>
      </w:tr>
    </w:tbl>
    <w:bookmarkEnd w:id="31"/>
    <w:bookmarkStart w:id="35" w:name="bubble-plot-of-the-observers"/>
    <w:p>
      <w:pPr>
        <w:pStyle w:val="Heading2"/>
      </w:pPr>
      <w:r>
        <w:t xml:space="preserve">5 Bubble plot of the observers</w:t>
      </w:r>
    </w:p>
    <w:p>
      <w:pPr>
        <w:pStyle w:val="FirstParagraph"/>
      </w:pPr>
      <w:hyperlink w:anchor="fig-plot_observer_bubble_all_combined">
        <w:r>
          <w:rPr>
            <w:rStyle w:val="Hyperlink"/>
          </w:rPr>
          <w:t xml:space="preserve">Figure 2</w:t>
        </w:r>
      </w:hyperlink>
      <w:r>
        <w:t xml:space="preserve"> </w:t>
      </w:r>
      <w:r>
        <w:t xml:space="preserve">is a bubble plot showing all observers in</w:t>
      </w:r>
      <w:r>
        <w:t xml:space="preserve"> </w:t>
      </w:r>
      <w:r>
        <w:t xml:space="preserve">the combined data. X-axis is start date, Y-axis is end date, size of the</w:t>
      </w:r>
      <w:r>
        <w:t xml:space="preserve"> </w:t>
      </w:r>
      <w:r>
        <w:t xml:space="preserve">bubble is the number of observations, color is the number of observation years,</w:t>
      </w:r>
      <w:r>
        <w:t xml:space="preserve"> </w:t>
      </w:r>
      <w:r>
        <w:t xml:space="preserve">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34" w:name="fig-plot_observer_bubble_all_combined"/>
          <w:tbl>
            <w:tblPr>
              <w:tblStyle w:val="Table"/>
              <w:tblW w:type="pct" w:w="5000"/>
              <w:tblLayout w:type="fixed"/>
              <w:tblLook w:firstRow="0" w:lastRow="0" w:firstColumn="0" w:lastColumn="0" w:noHBand="0" w:noVBand="0" w:val="0000"/>
            </w:tblPr>
            <w:tblGrid>
              <w:gridCol w:w="7920"/>
            </w:tblGrid>
            <w:tr>
              <w:tc>
                <w:tcPr/>
                <w:bookmarkStart w:id="32" w:name="fig-plot_observer_bubble_all_combined-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showing all observers in all combined data</w:t>
                  </w:r>
                </w:p>
                <w:bookmarkEnd w:id="32"/>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plot_observer_bubble_all_combined-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33"/>
              </w:tc>
            </w:tr>
          </w:tbl>
          <w:p>
            <w:pPr>
              <w:jc w:val="center"/>
            </w:pPr>
            <w:pPr>
              <w:jc w:val="start"/>
              <w:spacing w:before="200"/>
              <w:pStyle w:val="ImageCaption"/>
            </w:pPr>
            <w:r>
              <w:t xml:space="preserve">Figure 2</w:t>
            </w:r>
          </w:p>
          <w:bookmarkEnd w:id="34"/>
        </w:tc>
      </w:tr>
    </w:tbl>
    <w:bookmarkEnd w:id="35"/>
    <w:bookmarkStart w:id="37" w:name="animated-bubble-plot-of-the-observers"/>
    <w:p>
      <w:pPr>
        <w:pStyle w:val="Heading2"/>
      </w:pPr>
      <w:r>
        <w:t xml:space="preserve">6 Animated bubble plot of the observers</w:t>
      </w:r>
    </w:p>
    <w:p>
      <w:pPr>
        <w:pStyle w:val="FirstParagraph"/>
      </w:pPr>
      <w:hyperlink w:anchor="Xe2c2def6337bbd5be27f29b0162928ffad5a2cc">
        <w:r>
          <w:rPr>
            <w:rStyle w:val="Hyperlink"/>
          </w:rPr>
          <w:t xml:space="preserve">Figure 3</w:t>
        </w:r>
      </w:hyperlink>
      <w:r>
        <w:t xml:space="preserve"> </w:t>
      </w:r>
      <w:r>
        <w:t xml:space="preserve">is similar to</w:t>
      </w:r>
      <w:r>
        <w:t xml:space="preserve"> </w:t>
      </w:r>
      <w:hyperlink w:anchor="fig-plot_observer_bubble_all_combined">
        <w:r>
          <w:rPr>
            <w:rStyle w:val="Hyperlink"/>
          </w:rPr>
          <w:t xml:space="preserve">Figure 2</w:t>
        </w:r>
      </w:hyperlink>
      <w:r>
        <w:t xml:space="preserve"> </w:t>
      </w:r>
      <w:r>
        <w:t xml:space="preserve">but with animation over the start year.</w:t>
      </w:r>
    </w:p>
    <w:tbl>
      <w:tblPr>
        <w:tblStyle w:val="Table"/>
        <w:tblW w:type="pct" w:w="5000"/>
        <w:tblLayout w:type="fixed"/>
        <w:tblLook w:firstRow="0" w:lastRow="0" w:firstColumn="0" w:lastColumn="0" w:noHBand="0" w:noVBand="0" w:val="0000"/>
      </w:tblPr>
      <w:tblGrid>
        <w:gridCol w:w="7920"/>
      </w:tblGrid>
      <w:tr>
        <w:tc>
          <w:tcPr/>
          <w:bookmarkStart w:id="36" w:name="Xe2c2def6337bbd5be27f29b0162928ffad5a2cc"/>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all combined data.</w:t>
            </w:r>
          </w:p>
          <w:bookmarkEnd w:id="36"/>
        </w:tc>
      </w:tr>
    </w:tbl>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Combined Data</dc:title>
  <dc:creator/>
  <cp:keywords/>
  <dcterms:created xsi:type="dcterms:W3CDTF">2025-09-01T10:21:52Z</dcterms:created>
  <dcterms:modified xsi:type="dcterms:W3CDTF">2025-09-01T10:21:52Z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