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FARSuN Project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2e2540c237bc9b2230bdc6939e2b647323c41c6"/>
    <w:p>
      <w:pPr>
        <w:pStyle w:val="Heading1"/>
      </w:pPr>
      <w:r>
        <w:t xml:space="preserve">Findability and Accessibility of historical Raw Sunspot Numbers</w:t>
      </w:r>
    </w:p>
    <w:p>
      <w:pPr>
        <w:pStyle w:val="FirstParagraph"/>
      </w:pPr>
      <w:r>
        <w:t xml:space="preserve">The Sunspot Number (SN, formerly the International Sunspot Number) still carries scale jumps such as the 1947</w:t>
      </w:r>
      <w:r>
        <w:t xml:space="preserve"> </w:t>
      </w:r>
      <w:r>
        <w:t xml:space="preserve">“Waldmeier break”</w:t>
      </w:r>
      <w:r>
        <w:t xml:space="preserve">, even after two recalibrations. FARSuN responds by replaying the entire observing chain:</w:t>
      </w:r>
      <w:r>
        <w:t xml:space="preserve"> </w:t>
      </w:r>
      <w:r>
        <w:rPr>
          <w:b/>
          <w:bCs/>
        </w:rPr>
        <w:t xml:space="preserve">gather sources</w:t>
      </w:r>
      <w:r>
        <w:t xml:space="preserve">,</w:t>
      </w:r>
      <w:r>
        <w:t xml:space="preserve"> </w:t>
      </w:r>
      <w:r>
        <w:rPr>
          <w:b/>
          <w:bCs/>
        </w:rPr>
        <w:t xml:space="preserve">process data</w:t>
      </w:r>
      <w:r>
        <w:t xml:space="preserve"> </w:t>
      </w:r>
      <w:r>
        <w:t xml:space="preserve">with Transkribus models and double keying,</w:t>
      </w:r>
      <w:r>
        <w:t xml:space="preserve"> </w:t>
      </w:r>
      <w:r>
        <w:rPr>
          <w:b/>
          <w:bCs/>
        </w:rPr>
        <w:t xml:space="preserve">validate and standardise</w:t>
      </w:r>
      <w:r>
        <w:t xml:space="preserve"> </w:t>
      </w:r>
      <w:r>
        <w:t xml:space="preserve">through harmonised observer IDs and calibration curves, and</w:t>
      </w:r>
      <w:r>
        <w:t xml:space="preserve"> </w:t>
      </w:r>
      <w:r>
        <w:rPr>
          <w:b/>
          <w:bCs/>
        </w:rPr>
        <w:t xml:space="preserve">disseminate</w:t>
      </w:r>
      <w:r>
        <w:t xml:space="preserve"> </w:t>
      </w:r>
      <w:r>
        <w:t xml:space="preserve">machine-readable products via APIs and VO/EPN-TAP. Legacy corpora like</w:t>
      </w:r>
      <w:r>
        <w:t xml:space="preserve"> </w:t>
      </w:r>
      <w:hyperlink r:id="rId20">
        <w:r>
          <w:rPr>
            <w:rStyle w:val="Hyperlink"/>
          </w:rPr>
          <w:t xml:space="preserve">Wolf’s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Mittheilungen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(1610–1918)</w:t>
        </w:r>
      </w:hyperlink>
      <w:r>
        <w:t xml:space="preserve"> </w:t>
      </w:r>
      <w:r>
        <w:t xml:space="preserve">are now fully integrated with automated QC monitoring NG&gt;NS or metadata gaps, while the complete run of</w:t>
      </w:r>
      <w:r>
        <w:t xml:space="preserve"> </w:t>
      </w:r>
      <w:hyperlink r:id="rId21">
        <w:r>
          <w:rPr>
            <w:rStyle w:val="Hyperlink"/>
          </w:rPr>
          <w:t xml:space="preserve">Zürich observation tables (1945–1979)</w:t>
        </w:r>
      </w:hyperlink>
      <w:r>
        <w:t xml:space="preserve"> </w:t>
      </w:r>
      <w:r>
        <w:t xml:space="preserve">has been digitised with detailed metadata finished for 1945–1959 and observer scaling analyses underway. Dense, spotless-day rich material—</w:t>
      </w:r>
      <w:hyperlink r:id="rId22">
        <w:r>
          <w:rPr>
            <w:rStyle w:val="Hyperlink"/>
          </w:rPr>
          <w:t xml:space="preserve">C. H. Adams notebooks (1819–1823)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Gruithuisen manuscripts (1817–1849)</w:t>
        </w:r>
      </w:hyperlink>
      <w:r>
        <w:t xml:space="preserve">—is undergoing calibration, orientation, and dual QC before release, and the</w:t>
      </w:r>
      <w:r>
        <w:t xml:space="preserve"> </w:t>
      </w:r>
      <w:hyperlink r:id="rId24">
        <w:r>
          <w:rPr>
            <w:rStyle w:val="Hyperlink"/>
          </w:rPr>
          <w:t xml:space="preserve">Augustin Stark ledgers (1813–1835)</w:t>
        </w:r>
      </w:hyperlink>
      <w:r>
        <w:t xml:space="preserve"> </w:t>
      </w:r>
      <w:r>
        <w:t xml:space="preserve">are being normalised so weather notes align with group counts. Next milestones include expanding uncertainty dashboards, citizen-science transcription workflows, exposing the consolidated database through VO services, and using the harmonised record as the foundation for SN V3 and long-term solar activity studies.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7"/>
        <w:gridCol w:w="1485"/>
        <w:gridCol w:w="367"/>
        <w:gridCol w:w="1868"/>
        <w:gridCol w:w="2091"/>
        <w:gridCol w:w="18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Period 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Status (Early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Zürich Tables</w:t>
            </w:r>
          </w:p>
        </w:tc>
        <w:tc>
          <w:tcPr/>
          <w:p>
            <w:pPr>
              <w:pStyle w:val="Compact"/>
            </w:pPr>
            <w:r>
              <w:t xml:space="preserve">Daily counts, Wolf numbers, observing conditions from the Zürich Observatory network.</w:t>
            </w:r>
          </w:p>
        </w:tc>
        <w:tc>
          <w:tcPr/>
          <w:p>
            <w:pPr>
              <w:pStyle w:val="Compact"/>
            </w:pPr>
            <w:r>
              <w:t xml:space="preserve">1945 – 1979</w:t>
            </w:r>
          </w:p>
        </w:tc>
        <w:tc>
          <w:tcPr/>
          <w:p>
            <w:pPr>
              <w:pStyle w:val="Compact"/>
            </w:pPr>
            <w:r>
              <w:t xml:space="preserve">Backbone for late 20th-century sunspot calibration and cross-validation with other observers.</w:t>
            </w:r>
          </w:p>
        </w:tc>
        <w:tc>
          <w:tcPr/>
          <w:p>
            <w:pPr>
              <w:pStyle w:val="Compact"/>
            </w:pPr>
            <w:r>
              <w:t xml:space="preserve">100 % of &gt;2 000 tables digitised; detailed metadata completed for 1945–1959; observer scaling (k-factors) and QC dashboards active.</w:t>
            </w:r>
          </w:p>
        </w:tc>
        <w:tc>
          <w:tcPr/>
          <w:p>
            <w:pPr>
              <w:pStyle w:val="Compact"/>
            </w:pPr>
            <w:r>
              <w:t xml:space="preserve">Finalise metadata for later years, confirm 1980 holdings, publish VO/EPN‑TAP access with uncertainty dashboards.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Mittheilungen</w:t>
            </w:r>
          </w:p>
        </w:tc>
        <w:tc>
          <w:tcPr/>
          <w:p>
            <w:pPr>
              <w:pStyle w:val="Compact"/>
            </w:pPr>
            <w:r>
              <w:t xml:space="preserve">Rudolf Wolf’s compiled sunspot journals extending back to 1610.</w:t>
            </w:r>
          </w:p>
        </w:tc>
        <w:tc>
          <w:tcPr/>
          <w:p>
            <w:pPr>
              <w:pStyle w:val="Compact"/>
            </w:pPr>
            <w:r>
              <w:t xml:space="preserve">1610 – 1918</w:t>
            </w:r>
          </w:p>
        </w:tc>
        <w:tc>
          <w:tcPr/>
          <w:p>
            <w:pPr>
              <w:pStyle w:val="Compact"/>
            </w:pPr>
            <w:r>
              <w:t xml:space="preserve">Provides the longest consolidated series anchoring early historical variability.</w:t>
            </w:r>
          </w:p>
        </w:tc>
        <w:tc>
          <w:tcPr/>
          <w:p>
            <w:pPr>
              <w:pStyle w:val="Compact"/>
            </w:pPr>
            <w:r>
              <w:t xml:space="preserve">Fully integrated in FARSuN schema; automated checks flag NG &gt; NS, duplicates, and missing metadata while harmonisation continues.</w:t>
            </w:r>
          </w:p>
        </w:tc>
        <w:tc>
          <w:tcPr/>
          <w:p>
            <w:pPr>
              <w:pStyle w:val="Compact"/>
            </w:pPr>
            <w:r>
              <w:t xml:space="preserve">Maintain harmonised observer/instrument vocabularies and link to new extractions for cross-validation.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 H. Adams</w:t>
            </w:r>
          </w:p>
        </w:tc>
        <w:tc>
          <w:tcPr/>
          <w:p>
            <w:pPr>
              <w:pStyle w:val="Compact"/>
            </w:pPr>
            <w:r>
              <w:t xml:space="preserve">Full-disk drawings and daily entries highlighting spotless periods.</w:t>
            </w:r>
          </w:p>
        </w:tc>
        <w:tc>
          <w:tcPr/>
          <w:p>
            <w:pPr>
              <w:pStyle w:val="Compact"/>
            </w:pPr>
            <w:r>
              <w:t xml:space="preserve">1819 – 1823</w:t>
            </w:r>
          </w:p>
        </w:tc>
        <w:tc>
          <w:tcPr/>
          <w:p>
            <w:pPr>
              <w:pStyle w:val="Compact"/>
            </w:pPr>
            <w:r>
              <w:t xml:space="preserve">Dense coverage of low-activity years with explicit spotless days for SN V3 baseline work.</w:t>
            </w:r>
          </w:p>
        </w:tc>
        <w:tc>
          <w:tcPr/>
          <w:p>
            <w:pPr>
              <w:pStyle w:val="Compact"/>
            </w:pPr>
            <w:r>
              <w:t xml:space="preserve">338 drawings (1 056 entries) recovered; direct vs. reflection calibration, orientation, and dewarping underway for positional data.</w:t>
            </w:r>
          </w:p>
        </w:tc>
        <w:tc>
          <w:tcPr/>
          <w:p>
            <w:pPr>
              <w:pStyle w:val="Compact"/>
            </w:pPr>
            <w:r>
              <w:t xml:space="preserve">Complete calibration comparisons with contemporaries, extract coordinates/areas, release with uncertainty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Gruithuisen</w:t>
            </w:r>
          </w:p>
        </w:tc>
        <w:tc>
          <w:tcPr/>
          <w:p>
            <w:pPr>
              <w:pStyle w:val="Compact"/>
            </w:pPr>
            <w:r>
              <w:t xml:space="preserve">Manuscripts in Kurrent script documenting sunspots, weather, and observing context.</w:t>
            </w:r>
          </w:p>
        </w:tc>
        <w:tc>
          <w:tcPr/>
          <w:p>
            <w:pPr>
              <w:pStyle w:val="Compact"/>
            </w:pPr>
            <w:r>
              <w:t xml:space="preserve">1817 – 1849</w:t>
            </w:r>
          </w:p>
        </w:tc>
        <w:tc>
          <w:tcPr/>
          <w:p>
            <w:pPr>
              <w:pStyle w:val="Compact"/>
            </w:pPr>
            <w:r>
              <w:t xml:space="preserve">Bridges early 19th-century observations with detailed metadata valuable for climate links.</w:t>
            </w:r>
          </w:p>
        </w:tc>
        <w:tc>
          <w:tcPr/>
          <w:p>
            <w:pPr>
              <w:pStyle w:val="Compact"/>
            </w:pPr>
            <w:r>
              <w:t xml:space="preserve">Images and text snippets fully collected; two-pass QC (survey + counting) in progress; Transkribus + citizen-science workflows ready.</w:t>
            </w:r>
          </w:p>
        </w:tc>
        <w:tc>
          <w:tcPr/>
          <w:p>
            <w:pPr>
              <w:pStyle w:val="Compact"/>
            </w:pPr>
            <w:r>
              <w:t xml:space="preserve">Finalise daily NG/NS tables, run dual QC, register metadata, and expose FAIR/VO-ready catalogues.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Augustin Stark</w:t>
            </w:r>
          </w:p>
        </w:tc>
        <w:tc>
          <w:tcPr/>
          <w:p>
            <w:pPr>
              <w:pStyle w:val="Compact"/>
            </w:pPr>
            <w:r>
              <w:t xml:space="preserve">Printed ledgers describing sunspot groups, chains, and contemporaneous notes.</w:t>
            </w:r>
          </w:p>
        </w:tc>
        <w:tc>
          <w:tcPr/>
          <w:p>
            <w:pPr>
              <w:pStyle w:val="Compact"/>
            </w:pPr>
            <w:r>
              <w:t xml:space="preserve">1813 – 1835</w:t>
            </w:r>
          </w:p>
        </w:tc>
        <w:tc>
          <w:tcPr/>
          <w:p>
            <w:pPr>
              <w:pStyle w:val="Compact"/>
            </w:pPr>
            <w:r>
              <w:t xml:space="preserve">Adds context-rich European observations across Dalton-era variability.</w:t>
            </w:r>
          </w:p>
        </w:tc>
        <w:tc>
          <w:tcPr/>
          <w:p>
            <w:pPr>
              <w:pStyle w:val="Compact"/>
            </w:pPr>
            <w:r>
              <w:t xml:space="preserve">OCR trials successful; layouts normalised and weather annotations linked to counts; integration scripts prepared.</w:t>
            </w:r>
          </w:p>
        </w:tc>
        <w:tc>
          <w:tcPr/>
          <w:p>
            <w:pPr>
              <w:pStyle w:val="Compact"/>
            </w:pPr>
            <w:r>
              <w:t xml:space="preserve">Tighten QC flags, finish linkage to observer registry, and publish summaries aligned with FARSuN datasets.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adams.qmd" TargetMode="External" /><Relationship Type="http://schemas.openxmlformats.org/officeDocument/2006/relationships/hyperlink" Id="rId23" Target="./gruithuisen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4" Target="./stark.qmd" TargetMode="External" /><Relationship Type="http://schemas.openxmlformats.org/officeDocument/2006/relationships/hyperlink" Id="rId21" Target="./zurich_tabl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dams.qmd" TargetMode="External" /><Relationship Type="http://schemas.openxmlformats.org/officeDocument/2006/relationships/hyperlink" Id="rId23" Target="./gruithuisen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4" Target="./stark.qmd" TargetMode="External" /><Relationship Type="http://schemas.openxmlformats.org/officeDocument/2006/relationships/hyperlink" Id="rId21" Target="./zurich_tabl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FARSuN Project Overview</dc:title>
  <dc:creator/>
  <cp:keywords/>
  <dcterms:created xsi:type="dcterms:W3CDTF">2025-10-21T06:36:11Z</dcterms:created>
  <dcterms:modified xsi:type="dcterms:W3CDTF">2025-10-21T06:36:11Z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