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Cloud Security Compliance Policy 2026</w:t>
      </w:r>
    </w:p>
    <w:p>
      <w:pPr>
        <w:pStyle w:val="Heading1"/>
      </w:pPr>
      <w:r>
        <w:t>Section 1: Data Encryption Standards</w:t>
      </w:r>
    </w:p>
    <w:p>
      <w:r>
        <w:t>All sensitive user data stored at rest must utilize AES-256 encryption. Encryption keys must be rotated every 90 days following ISO 27001 security standards.</w:t>
      </w:r>
    </w:p>
    <w:p>
      <w:pPr>
        <w:pStyle w:val="Heading1"/>
      </w:pPr>
      <w:r>
        <w:t>Section 2: Access Control &amp; IAM</w:t>
      </w:r>
    </w:p>
    <w:p>
      <w:r>
        <w:t>Multi-factor authentication (MFA) is strictly required for all administrative access. Least privilege access controls must be audited quarterly.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