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6EE42E">
      <w:pPr>
        <w:pStyle w:val="693"/>
        <w:pBdr/>
        <w:spacing/>
        <w:ind/>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t xml:space="preserve">Boudjemai Chahinez </w:t>
      </w:r>
      <w:r>
        <w:rPr>
          <w:rFonts w:ascii="Times New Roman" w:hAnsi="Times New Roman" w:cs="Times New Roman"/>
          <w:color w:val="auto"/>
          <w:sz w:val="24"/>
          <w:szCs w:val="24"/>
        </w:rPr>
      </w:r>
    </w:p>
    <w:p w14:paraId="07E83078">
      <w:pPr>
        <w:pStyle w:val="693"/>
        <w:pBdr/>
        <w:spacing/>
        <w:ind/>
        <w:jc w:val="left"/>
        <w:rPr>
          <w:rFonts w:ascii="Times New Roman" w:hAnsi="Times New Roman" w:cs="Times New Roman"/>
          <w:color w:val="auto"/>
          <w:sz w:val="24"/>
          <w:szCs w:val="24"/>
        </w:rPr>
      </w:pPr>
      <w:r>
        <w:rPr>
          <w:rFonts w:ascii="Times New Roman" w:hAnsi="Times New Roman" w:eastAsia="Times New Roman" w:cs="Times New Roman"/>
          <w:color w:val="auto"/>
          <w:sz w:val="24"/>
          <w:szCs w:val="24"/>
          <w:highlight w:val="none"/>
        </w:rPr>
        <w:t xml:space="preserve">ENSTA</w:t>
      </w:r>
      <w:r>
        <w:rPr>
          <w:rFonts w:ascii="Times New Roman" w:hAnsi="Times New Roman" w:cs="Times New Roman"/>
          <w:color w:val="auto"/>
          <w:sz w:val="24"/>
          <w:szCs w:val="24"/>
        </w:rPr>
      </w:r>
      <w:r/>
    </w:p>
    <w:p w14:paraId="34E521D4">
      <w:pPr>
        <w:pStyle w:val="693"/>
        <w:pBdr/>
        <w:spacing/>
        <w:ind/>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highlight w:val="none"/>
        </w:rPr>
      </w:r>
    </w:p>
    <w:p>
      <w:pPr>
        <w:pStyle w:val="693"/>
        <w:pBdr/>
        <w:spacing/>
        <w:ind/>
        <w:jc w:val="left"/>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rPr>
        <w:t xml:space="preserve">                                                        Axis II – Workshop 1</w:t>
        <w:br/>
        <w:t xml:space="preserve">Academic Writing Assisted by AI</w:t>
      </w:r>
      <w:r>
        <w:rPr>
          <w:rFonts w:ascii="Times New Roman" w:hAnsi="Times New Roman" w:eastAsia="Times New Roman" w:cs="Times New Roman"/>
          <w:color w:val="auto"/>
          <w:sz w:val="24"/>
          <w:szCs w:val="24"/>
        </w:rPr>
      </w:r>
    </w:p>
    <w:p>
      <w:pPr>
        <w:pStyle w:val="694"/>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Step 1 – Draft</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Heavy metals released from desalination plants can accumulate in the marine environment and pose significant ecological risks. These contaminants may affect wat</w:t>
      </w:r>
      <w:r>
        <w:rPr>
          <w:rFonts w:ascii="Times New Roman" w:hAnsi="Times New Roman" w:eastAsia="Times New Roman" w:cs="Times New Roman"/>
          <w:color w:val="auto"/>
          <w:sz w:val="24"/>
          <w:szCs w:val="24"/>
        </w:rPr>
        <w:t xml:space="preserve">er quality and marine organisms, particularly in coastal areas where desalination effluents are discharged. Marine bioindicators are often used to detect and monitor the presence of heavy metals because they can reflect long-term environmental exposure. Ho</w:t>
      </w:r>
      <w:r>
        <w:rPr>
          <w:rFonts w:ascii="Times New Roman" w:hAnsi="Times New Roman" w:eastAsia="Times New Roman" w:cs="Times New Roman"/>
          <w:color w:val="auto"/>
          <w:sz w:val="24"/>
          <w:szCs w:val="24"/>
        </w:rPr>
        <w:t xml:space="preserve">wever, the effectiveness of bioindicators depends on species selection and environmental conditions. Therefore, it is important to assess the role of marine bioindicators in detecting heavy metal contamination associated with desalination plant discharges.</w:t>
      </w:r>
      <w:r>
        <w:rPr>
          <w:rFonts w:ascii="Times New Roman" w:hAnsi="Times New Roman" w:eastAsia="Times New Roman" w:cs="Times New Roman"/>
          <w:color w:val="auto"/>
          <w:sz w:val="24"/>
          <w:szCs w:val="24"/>
        </w:rPr>
      </w:r>
    </w:p>
    <w:p>
      <w:pPr>
        <w:pStyle w:val="694"/>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Step 2 :Rephrase &amp; Structure (ChatGPT)</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Prompt used:</w:t>
        <w:br/>
        <w:t xml:space="preserve">Can you rephrase this paragraph in a clear and structured academic style suitable for a Phd-level scientific text?</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Heavy metals released through effluents from desalination plants may accumulate in marine environments, particularly in coastal zones, and pose significa</w:t>
      </w:r>
      <w:r>
        <w:rPr>
          <w:rFonts w:ascii="Times New Roman" w:hAnsi="Times New Roman" w:eastAsia="Times New Roman" w:cs="Times New Roman"/>
          <w:color w:val="auto"/>
          <w:sz w:val="24"/>
          <w:szCs w:val="24"/>
        </w:rPr>
        <w:t xml:space="preserve">nt ecological risks. Such contaminants can adversely affect water quality and marine organisms. Marine bioindicators are widely used to detect and monitor heavy metal contamination, as they reflect long-term environmental exposure. However, the reliability</w:t>
      </w:r>
      <w:r>
        <w:rPr>
          <w:rFonts w:ascii="Times New Roman" w:hAnsi="Times New Roman" w:eastAsia="Times New Roman" w:cs="Times New Roman"/>
          <w:color w:val="auto"/>
          <w:sz w:val="24"/>
          <w:szCs w:val="24"/>
        </w:rPr>
        <w:t xml:space="preserve"> of bioindicators depends on appropriate species selection and local environmental conditions. Consequently, evaluating the effectiveness of marine bioindicators in detecting heavy metal pollution associated with desalination plant discharges is essential.</w:t>
      </w:r>
      <w:r>
        <w:rPr>
          <w:rFonts w:ascii="Times New Roman" w:hAnsi="Times New Roman" w:eastAsia="Times New Roman" w:cs="Times New Roman"/>
          <w:color w:val="auto"/>
          <w:sz w:val="24"/>
          <w:szCs w:val="24"/>
        </w:rPr>
      </w:r>
    </w:p>
    <w:p>
      <w:pPr>
        <w:pStyle w:val="694"/>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Step 3 : Grammar and Style Correction</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The paragraph was reviewed using Grammarly/LanguageTool to improve grammatical accuracy and academic style. Minor stylistic refinements were applied while preserving the scientific meaning.</w:t>
      </w:r>
      <w:r>
        <w:rPr>
          <w:rFonts w:ascii="Times New Roman" w:hAnsi="Times New Roman" w:eastAsia="Times New Roman" w:cs="Times New Roman"/>
          <w:color w:val="auto"/>
          <w:sz w:val="24"/>
          <w:szCs w:val="24"/>
        </w:rPr>
      </w:r>
    </w:p>
    <w:p>
      <w:pPr>
        <w:pStyle w:val="694"/>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Step 4 :Translation (Optional)</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Les métaux lourds rejetés par les eff</w:t>
      </w:r>
      <w:r>
        <w:rPr>
          <w:rFonts w:ascii="Times New Roman" w:hAnsi="Times New Roman" w:eastAsia="Times New Roman" w:cs="Times New Roman"/>
          <w:color w:val="auto"/>
          <w:sz w:val="24"/>
          <w:szCs w:val="24"/>
        </w:rPr>
        <w:t xml:space="preserve">luents des stations de dessalement peuvent s’accumuler dans les environnements marins, en particulier dans les zones côtières, et présenter des risques écologiques importants. Ces contaminants peuvent affecter négativement la qualité de l’eau et les organi</w:t>
      </w:r>
      <w:r>
        <w:rPr>
          <w:rFonts w:ascii="Times New Roman" w:hAnsi="Times New Roman" w:eastAsia="Times New Roman" w:cs="Times New Roman"/>
          <w:color w:val="auto"/>
          <w:sz w:val="24"/>
          <w:szCs w:val="24"/>
        </w:rPr>
        <w:t xml:space="preserve">smes marins. Les bioindicateurs marins sont largement utilisés pour détecter et surveiller la contamination par les métaux lourds, car ils reflètent une exposition environnementale à long terme. Toutefois, la fiabilité des bioindicateurs dépend du choix ap</w:t>
      </w:r>
      <w:r>
        <w:rPr>
          <w:rFonts w:ascii="Times New Roman" w:hAnsi="Times New Roman" w:eastAsia="Times New Roman" w:cs="Times New Roman"/>
          <w:color w:val="auto"/>
          <w:sz w:val="24"/>
          <w:szCs w:val="24"/>
        </w:rPr>
        <w:t xml:space="preserve">proprié des espèces et des conditions environnementales locales. Par conséquent, l’évaluation de l’efficacité des bioindicateurs marins dans la détection de la pollution par les métaux lourds associée aux rejets des stations de dessalement est essentielle.</w:t>
      </w:r>
      <w:r>
        <w:rPr>
          <w:rFonts w:ascii="Times New Roman" w:hAnsi="Times New Roman" w:eastAsia="Times New Roman" w:cs="Times New Roman"/>
          <w:color w:val="auto"/>
          <w:sz w:val="24"/>
          <w:szCs w:val="24"/>
        </w:rPr>
      </w:r>
    </w:p>
    <w:p>
      <w:pPr>
        <w:pStyle w:val="694"/>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Critical Reflection</w:t>
      </w:r>
      <w:r>
        <w:rPr>
          <w:rFonts w:ascii="Times New Roman" w:hAnsi="Times New Roman" w:eastAsia="Times New Roman" w:cs="Times New Roman"/>
          <w:color w:val="auto"/>
          <w:sz w:val="24"/>
          <w:szCs w:val="24"/>
        </w:rPr>
      </w:r>
    </w:p>
    <w:p>
      <w:pPr>
        <w:pBdr/>
        <w:spacing/>
        <w:ind/>
        <w:jc w:val="both"/>
        <w:rPr>
          <w:rFonts w:ascii="Times New Roman" w:hAnsi="Times New Roman" w:cs="Times New Roman"/>
          <w:color w:val="auto"/>
          <w:sz w:val="24"/>
          <w:szCs w:val="24"/>
        </w:rPr>
      </w:pPr>
      <w:r>
        <w:rPr>
          <w:rFonts w:ascii="Times New Roman" w:hAnsi="Times New Roman" w:eastAsia="Times New Roman" w:cs="Times New Roman"/>
          <w:color w:val="auto"/>
          <w:sz w:val="24"/>
          <w:szCs w:val="24"/>
        </w:rPr>
        <w:t xml:space="preserve">AI-assisted writing tools such as Cha</w:t>
      </w:r>
      <w:r>
        <w:rPr>
          <w:rFonts w:ascii="Times New Roman" w:hAnsi="Times New Roman" w:eastAsia="Times New Roman" w:cs="Times New Roman"/>
          <w:color w:val="auto"/>
          <w:sz w:val="24"/>
          <w:szCs w:val="24"/>
        </w:rPr>
        <w:t xml:space="preserve">tGPT and Grammarly significantly enhance the clarity, structure, and academic tone of scientific writing. However, human expertise remains essential to ensure scientific accuracy, contextual relevance, and proper interpretation of domain-specific concepts.</w:t>
      </w:r>
      <w:r>
        <w:rPr>
          <w:rFonts w:ascii="Times New Roman" w:hAnsi="Times New Roman" w:eastAsia="Times New Roman" w:cs="Times New Roman"/>
          <w:color w:val="auto"/>
          <w:sz w:val="24"/>
          <w:szCs w:val="24"/>
        </w:rPr>
      </w:r>
    </w:p>
    <w:p w14:paraId="3FF0D52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1C74C9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C94890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FB0772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2263348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58C657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9D8C7BC">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35FEC493">
      <w:pPr>
        <w:pBdr/>
        <w:spacing/>
        <w:ind/>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2025-12-13T17:52:51Z</dcterms:modified>
  <cp:category/>
</cp:coreProperties>
</file>