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3BA472">
      <w:pPr>
        <w:pStyle w:val="693"/>
        <w:pBdr/>
        <w:spacing/>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t xml:space="preserve">Boudjemai Chahinez</w:t>
      </w:r>
      <w:r>
        <w:rPr>
          <w:rFonts w:ascii="Times New Roman" w:hAnsi="Times New Roman" w:cs="Times New Roman"/>
          <w:color w:val="000000" w:themeColor="text1"/>
          <w:sz w:val="24"/>
          <w:szCs w:val="24"/>
        </w:rPr>
      </w:r>
    </w:p>
    <w:p w14:paraId="59D27A3F">
      <w:pPr>
        <w:pBdr/>
        <w:spacing/>
        <w:ind/>
        <w:rPr>
          <w:b/>
          <w:bCs/>
        </w:rPr>
      </w:pPr>
      <w:r>
        <w:rPr>
          <w:rFonts w:ascii="Times New Roman" w:hAnsi="Times New Roman" w:eastAsia="Times New Roman" w:cs="Times New Roman"/>
          <w:b/>
          <w:bCs/>
          <w:color w:val="000000" w:themeColor="text1"/>
          <w:sz w:val="24"/>
          <w:szCs w:val="24"/>
          <w:highlight w:val="none"/>
        </w:rPr>
        <w:t xml:space="preserve">ENSTA</w:t>
      </w:r>
      <w:r>
        <w:rPr>
          <w:rFonts w:ascii="Times New Roman" w:hAnsi="Times New Roman" w:eastAsia="Times New Roman" w:cs="Times New Roman"/>
          <w:b/>
          <w:bCs/>
          <w:color w:val="000000" w:themeColor="text1"/>
          <w:sz w:val="24"/>
          <w:szCs w:val="24"/>
          <w:highlight w:val="none"/>
        </w:rPr>
      </w:r>
      <w:r>
        <w:rPr>
          <w:b/>
          <w:bCs/>
        </w:rPr>
      </w:r>
    </w:p>
    <w:p>
      <w:pPr>
        <w:pStyle w:val="693"/>
        <w:pBdr/>
        <w:spacing/>
        <w:ind/>
        <w:jc w:val="left"/>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32"/>
          <w:szCs w:val="32"/>
        </w:rPr>
        <w:t xml:space="preserve">                                    Axis II Workshop 2</w:t>
      </w:r>
      <w:r>
        <w:rPr>
          <w:rFonts w:ascii="Times New Roman" w:hAnsi="Times New Roman" w:eastAsia="Times New Roman" w:cs="Times New Roman"/>
          <w:color w:val="000000" w:themeColor="text1"/>
          <w:sz w:val="24"/>
          <w:szCs w:val="24"/>
        </w:rPr>
        <w:b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Research Topic</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Detection of heavy metals using marine bioindicators in desalination plant discharge areas.</w:t>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Step 1 : Defining the Research Question</w:t>
      </w:r>
      <w:r>
        <w:rPr>
          <w:rFonts w:ascii="Times New Roman" w:hAnsi="Times New Roman" w:cs="Times New Roman"/>
          <w:color w:val="000000" w:themeColor="text1"/>
          <w:sz w:val="24"/>
          <w:szCs w:val="24"/>
        </w:rPr>
      </w:r>
    </w:p>
    <w:p w14:paraId="249D26D8">
      <w:pPr>
        <w:pBdr/>
        <w:spacing/>
        <w:ind/>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Research Question:</w:t>
      </w:r>
      <w:r>
        <w:rPr>
          <w:rFonts w:ascii="Times New Roman" w:hAnsi="Times New Roman" w:eastAsia="Times New Roman" w:cs="Times New Roman"/>
          <w:color w:val="000000" w:themeColor="text1"/>
          <w:sz w:val="24"/>
          <w:szCs w:val="24"/>
        </w:rPr>
        <w:br/>
        <w:t xml:space="preserve">How are marine bioindicators used to detect and monitor heavy metal contamination resulting from desalination plant discharges?</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Keywords:</w:t>
        <w:br/>
        <w:t xml:space="preserve">Heavy metals, marine bioindicators, desalination plants, effluents, coastal pollution, biomonitoring.</w:t>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Step 2 : Initial Exploration with Elicit</w:t>
      </w:r>
      <w:r>
        <w:rPr>
          <w:rFonts w:ascii="Times New Roman" w:hAnsi="Times New Roman" w:eastAsia="Times New Roman" w:cs="Times New Roman"/>
          <w:color w:val="000000" w:themeColor="text1"/>
          <w:sz w:val="24"/>
          <w:szCs w:val="24"/>
        </w:rPr>
      </w:r>
    </w:p>
    <w:p w14:paraId="6D6BE3E3">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E0DFD15">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486400" cy="25487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94256" name=""/>
                        <pic:cNvPicPr>
                          <a:picLocks noChangeAspect="1"/>
                        </pic:cNvPicPr>
                        <pic:nvPr/>
                      </pic:nvPicPr>
                      <pic:blipFill rotWithShape="1">
                        <a:blip r:embed="rId10"/>
                        <a:stretch/>
                      </pic:blipFill>
                      <pic:spPr bwMode="auto">
                        <a:xfrm>
                          <a:off x="0" y="0"/>
                          <a:ext cx="5486399" cy="2548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00.6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57464C6">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48E541F">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F3BF9FD">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8A42B46">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7DFAB00">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858A9B1">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Step 3 : Cross-Verification with Semantic Scholar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5856DDC">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4D6B00">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486400" cy="192975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5729" name=""/>
                        <pic:cNvPicPr>
                          <a:picLocks noChangeAspect="1"/>
                        </pic:cNvPicPr>
                        <pic:nvPr/>
                      </pic:nvPicPr>
                      <pic:blipFill rotWithShape="1">
                        <a:blip r:embed="rId11"/>
                        <a:stretch/>
                      </pic:blipFill>
                      <pic:spPr bwMode="auto">
                        <a:xfrm>
                          <a:off x="0" y="0"/>
                          <a:ext cx="5486399" cy="19297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151.9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Step 4 : Critical Evaluation with Scite</w:t>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The selected article was searched in Scite using its DOI. However, Scite did not return classified citation contexts (supporting, mentioning, or contradicting). This indicates that the article has limited or no indexed citation analysis within the platform </w:t>
      </w:r>
      <w:r>
        <w:rPr>
          <w:rFonts w:ascii="Times New Roman" w:hAnsi="Times New Roman" w:eastAsia="Times New Roman" w:cs="Times New Roman"/>
          <w:color w:val="000000" w:themeColor="text1"/>
          <w:sz w:val="24"/>
          <w:szCs w:val="24"/>
        </w:rPr>
        <w:t xml:space="preserve">at the time of consultation. This result highlights the importance of combining multiple tools when evaluating scientific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Style w:val="694"/>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Step 5 : Reference Management with Zotero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33D308C">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D3077F3">
      <w:pPr>
        <w:pBdr/>
        <w:spacing/>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t xml:space="preserve">References (APA style)</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66AFE8AA">
      <w:pPr>
        <w:pBdr>
          <w:top w:val="none" w:color="000000" w:sz="4" w:space="0"/>
          <w:left w:val="none" w:color="000000" w:sz="4" w:space="0"/>
          <w:bottom w:val="none" w:color="000000" w:sz="4" w:space="0"/>
          <w:right w:val="none" w:color="000000" w:sz="4" w:space="0"/>
        </w:pBdr>
        <w:spacing w:line="480" w:lineRule="atLeast"/>
        <w:ind w:right="0" w:hanging="480" w:left="0"/>
        <w:rPr>
          <w:rFonts w:ascii="Times New Roman" w:hAnsi="Times New Roman" w:cs="Times New Roman"/>
          <w:color w:val="000000" w:themeColor="text1"/>
          <w:szCs w:val="24"/>
        </w:rPr>
      </w:pPr>
      <w:r>
        <w:rPr>
          <w:rFonts w:ascii="Times New Roman" w:hAnsi="Times New Roman" w:eastAsia="Times New Roman" w:cs="Times New Roman"/>
          <w:color w:val="000000" w:themeColor="text1"/>
          <w:sz w:val="24"/>
          <w:szCs w:val="24"/>
        </w:rPr>
        <w:t xml:space="preserve">Sharifinia, M., Keshavarzifard, M., Hosseinkhezri, P., Khanjani, M. H., Yap, C. K., Smith, W. O., Daliri, M., &amp; Haghshenas, A. (2022). The impact assessment of desalination plant discharges on heavy metal pollution in the coastal sediments of the Persian G</w:t>
      </w:r>
      <w:r>
        <w:rPr>
          <w:rFonts w:ascii="Times New Roman" w:hAnsi="Times New Roman" w:eastAsia="Times New Roman" w:cs="Times New Roman"/>
          <w:color w:val="000000" w:themeColor="text1"/>
          <w:sz w:val="24"/>
          <w:szCs w:val="24"/>
        </w:rPr>
        <w:t xml:space="preserve">ulf. </w:t>
      </w:r>
      <w:r>
        <w:rPr>
          <w:rFonts w:ascii="Times New Roman" w:hAnsi="Times New Roman" w:eastAsia="Times New Roman" w:cs="Times New Roman"/>
          <w:i/>
          <w:color w:val="000000" w:themeColor="text1"/>
          <w:sz w:val="24"/>
          <w:szCs w:val="24"/>
        </w:rPr>
        <w:t xml:space="preserve">Marine Pollution Bulletin</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i/>
          <w:color w:val="000000" w:themeColor="text1"/>
          <w:sz w:val="24"/>
          <w:szCs w:val="24"/>
        </w:rPr>
        <w:t xml:space="preserve">178</w:t>
      </w:r>
      <w:r>
        <w:rPr>
          <w:rFonts w:ascii="Times New Roman" w:hAnsi="Times New Roman" w:eastAsia="Times New Roman" w:cs="Times New Roman"/>
          <w:color w:val="000000" w:themeColor="text1"/>
          <w:sz w:val="24"/>
          <w:szCs w:val="24"/>
        </w:rPr>
        <w:t xml:space="preserve">, 113599. </w:t>
      </w:r>
      <w:hyperlink r:id="rId12" w:tooltip="https://doi.org/10.1016/j.marpolbul.2022.113599" w:history="1">
        <w:r>
          <w:rPr>
            <w:rStyle w:val="187"/>
            <w:rFonts w:ascii="Times New Roman" w:hAnsi="Times New Roman" w:eastAsia="Times New Roman" w:cs="Times New Roman"/>
            <w:color w:val="000000" w:themeColor="text1"/>
            <w:sz w:val="24"/>
            <w:szCs w:val="24"/>
            <w:u w:val="single"/>
          </w:rPr>
          <w:t xml:space="preserve">https://doi.org/10.1016/j.marpolbul.2022.113599</w:t>
        </w:r>
      </w:hyperlink>
      <w:r>
        <w:rPr>
          <w:color w:val="000000" w:themeColor="text1"/>
          <w:sz w:val="24"/>
          <w:szCs w:val="24"/>
        </w:rPr>
      </w:r>
      <w:r>
        <w:rPr>
          <w:rFonts w:ascii="Times New Roman" w:hAnsi="Times New Roman" w:eastAsia="Times New Roman" w:cs="Times New Roman"/>
          <w:color w:val="000000" w:themeColor="text1"/>
          <w:sz w:val="24"/>
          <w:szCs w:val="24"/>
        </w:rPr>
      </w:r>
    </w:p>
    <w:p w14:paraId="22363DA7">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16/j.marpolbul.2022.11359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2025-12-13T18:25:47Z</dcterms:modified>
  <cp:category/>
</cp:coreProperties>
</file>