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B3A5C" w:val="clear"/>
            <w:tcMar>
              <w:top w:type="dxa" w:w="200"/>
              <w:left w:type="dxa" w:w="280"/>
              <w:bottom w:type="dxa" w:w="200"/>
              <w:right w:type="dxa" w:w="280"/>
            </w:tcMar>
          </w:tcPr>
          <w:p>
            <w:pPr>
              <w:jc w:val="center"/>
            </w:pPr>
            <w:r>
              <w:rPr>
                <w:rFonts w:ascii="Arial" w:cs="Arial" w:eastAsia="Arial" w:hAnsi="Arial"/>
                <w:b/>
                <w:bCs/>
                <w:color w:val="D97706"/>
                <w:sz w:val="28"/>
                <w:szCs w:val="28"/>
              </w:rPr>
              <w:t xml:space="preserve">DEMO SCRIPT</w:t>
            </w:r>
          </w:p>
          <w:p>
            <w:pPr>
              <w:spacing w:after="0" w:before="40"/>
              <w:jc w:val="center"/>
            </w:pPr>
            <w:r>
              <w:rPr>
                <w:rFonts w:ascii="Arial" w:cs="Arial" w:eastAsia="Arial" w:hAnsi="Arial"/>
                <w:b/>
                <w:bCs/>
                <w:color w:val="FFFFFF"/>
                <w:sz w:val="36"/>
                <w:szCs w:val="36"/>
              </w:rPr>
              <w:t xml:space="preserve">Cincinnati Civic Data Platform</w:t>
            </w:r>
          </w:p>
          <w:p>
            <w:pPr>
              <w:spacing w:after="0" w:before="60"/>
              <w:jc w:val="center"/>
            </w:pPr>
            <w:r>
              <w:rPr>
                <w:rFonts w:ascii="Arial" w:cs="Arial" w:eastAsia="Arial" w:hAnsi="Arial"/>
                <w:color w:val="D1D5DB"/>
                <w:sz w:val="18"/>
                <w:szCs w:val="18"/>
              </w:rPr>
              <w:t xml:space="preserve">Audience: UC College of Nursing Faculty   |   Duration: ~15 min</w:t>
            </w:r>
          </w:p>
        </w:tc>
      </w:tr>
    </w:tbl>
    <w:p>
      <w:pPr>
        <w:spacing w:after="0" w:before="160"/>
      </w:pPr>
    </w:p>
    <w:p>
      <w:pPr>
        <w:spacing w:after="80" w:before="180"/>
      </w:pPr>
      <w:r>
        <w:rPr>
          <w:rFonts w:ascii="Arial" w:cs="Arial" w:eastAsia="Arial" w:hAnsi="Arial"/>
          <w:b/>
          <w:bCs/>
          <w:color w:val="1B3A5C"/>
          <w:sz w:val="24"/>
          <w:szCs w:val="24"/>
        </w:rPr>
        <w:t xml:space="preserve">PRE-FLIGHT CHECKLIST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D1D5DB" w:sz="1"/>
            </w:tcBorders>
            <w:shd w:fill="F3F4F6" w:val="clear"/>
            <w:tcMar>
              <w:top w:type="dxa" w:w="80"/>
              <w:left w:type="dxa" w:w="140"/>
              <w:bottom w:type="dxa" w:w="80"/>
              <w:right w:type="dxa" w:w="140"/>
            </w:tcMar>
          </w:tcPr>
          <w:p>
            <w:r>
              <w:rPr>
                <w:rFonts w:ascii="Arial" w:cs="Arial" w:eastAsia="Arial" w:hAnsi="Arial"/>
                <w:b/>
                <w:bCs/>
                <w:sz w:val="20"/>
                <w:szCs w:val="20"/>
              </w:rPr>
              <w:t xml:space="preserve">Open fresh tab to:</w:t>
            </w:r>
          </w:p>
          <w:p>
            <w:pPr>
              <w:spacing w:after="0" w:before="40"/>
            </w:pPr>
            <w:r>
              <w:rPr>
                <w:rFonts w:ascii="Arial" w:cs="Arial" w:eastAsia="Arial" w:hAnsi="Arial"/>
                <w:color w:val="0F766E"/>
                <w:sz w:val="20"/>
                <w:szCs w:val="20"/>
              </w:rPr>
              <w:t xml:space="preserve">cincinnati-civic-data.vercel.app</w:t>
            </w:r>
          </w:p>
          <w:p>
            <w:pPr>
              <w:spacing w:after="0" w:before="60"/>
            </w:pPr>
          </w:p>
          <w:p>
            <w:r>
              <w:rPr>
                <w:rFonts w:ascii="Arial" w:cs="Arial" w:eastAsia="Arial" w:hAnsi="Arial"/>
                <w:b/>
                <w:bCs/>
                <w:sz w:val="20"/>
                <w:szCs w:val="20"/>
              </w:rPr>
              <w:t xml:space="preserve">Addresses ready to type:</w:t>
            </w:r>
          </w:p>
          <w:p>
            <w:pPr>
              <w:spacing w:after="0" w:before="40"/>
            </w:pPr>
            <w:r>
              <w:rPr>
                <w:rFonts w:ascii="Arial" w:cs="Arial" w:eastAsia="Arial" w:hAnsi="Arial"/>
                <w:sz w:val="20"/>
                <w:szCs w:val="20"/>
              </w:rPr>
              <w:t xml:space="preserve">1.  1015 Rutledge Ave  (your address)</w:t>
            </w:r>
          </w:p>
          <w:p>
            <w:pPr>
              <w:spacing w:after="0" w:before="20"/>
            </w:pPr>
            <w:r>
              <w:rPr>
                <w:rFonts w:ascii="Arial" w:cs="Arial" w:eastAsia="Arial" w:hAnsi="Arial"/>
                <w:sz w:val="20"/>
                <w:szCs w:val="20"/>
              </w:rPr>
              <w:t xml:space="preserve">2.  3110 Vine St  (UC Nursing)</w:t>
            </w:r>
          </w:p>
          <w:p>
            <w:pPr>
              <w:spacing w:after="0" w:before="20"/>
            </w:pPr>
            <w:r>
              <w:rPr>
                <w:rFonts w:ascii="Arial" w:cs="Arial" w:eastAsia="Arial" w:hAnsi="Arial"/>
                <w:sz w:val="20"/>
                <w:szCs w:val="20"/>
              </w:rPr>
              <w:t xml:space="preserve">3.  2715 Woodburn Ave  (Walnut Hills)</w:t>
            </w:r>
          </w:p>
        </w:tc>
        <w:tc>
          <w:tcPr>
            <w:tcW w:type="dxa" w:w="4680"/>
            <w:tcBorders>
              <w:top w:val="none" w:color="FFFFFF" w:sz="0"/>
              <w:left w:val="none" w:color="FFFFFF" w:sz="0"/>
              <w:bottom w:val="none" w:color="FFFFFF" w:sz="0"/>
              <w:right w:val="none" w:color="FFFFFF" w:sz="0"/>
            </w:tcBorders>
            <w:shd w:fill="FEF2F2" w:val="clear"/>
            <w:tcMar>
              <w:top w:type="dxa" w:w="80"/>
              <w:left w:type="dxa" w:w="140"/>
              <w:bottom w:type="dxa" w:w="80"/>
              <w:right w:type="dxa" w:w="140"/>
            </w:tcMar>
          </w:tcPr>
          <w:p>
            <w:r>
              <w:rPr>
                <w:rFonts w:ascii="Arial" w:cs="Arial" w:eastAsia="Arial" w:hAnsi="Arial"/>
                <w:b/>
                <w:bCs/>
                <w:color w:val="B91C1C"/>
                <w:sz w:val="20"/>
                <w:szCs w:val="20"/>
              </w:rPr>
              <w:t xml:space="preserve">AVOID these during demo:</w:t>
            </w:r>
          </w:p>
          <w:p>
            <w:pPr>
              <w:spacing w:after="0" w:before="40"/>
            </w:pPr>
            <w:r>
              <w:rPr>
                <w:rFonts w:ascii="Arial" w:cs="Arial" w:eastAsia="Arial" w:hAnsi="Arial"/>
                <w:sz w:val="20"/>
                <w:szCs w:val="20"/>
              </w:rPr>
              <w:t xml:space="preserve">✗  Do NOT click “Explain This Record” (AI summary stalls mid-sentence)</w:t>
            </w:r>
          </w:p>
          <w:p>
            <w:pPr>
              <w:spacing w:after="0" w:before="20"/>
            </w:pPr>
            <w:r>
              <w:rPr>
                <w:rFonts w:ascii="Arial" w:cs="Arial" w:eastAsia="Arial" w:hAnsi="Arial"/>
                <w:sz w:val="20"/>
                <w:szCs w:val="20"/>
              </w:rPr>
              <w:t xml:space="preserve">✗  AI summary does NOT clear between addresses — scroll past it</w:t>
            </w:r>
          </w:p>
          <w:p>
            <w:pPr>
              <w:spacing w:after="0" w:before="20"/>
            </w:pPr>
            <w:r>
              <w:rPr>
                <w:rFonts w:ascii="Arial" w:cs="Arial" w:eastAsia="Arial" w:hAnsi="Arial"/>
                <w:sz w:val="20"/>
                <w:szCs w:val="20"/>
              </w:rPr>
              <w:t xml:space="preserve">✗  Do NOT worry if Clifton transit shows 0 stops (known mapping gap; address it proactively)</w:t>
            </w:r>
          </w:p>
        </w:tc>
      </w:tr>
    </w:tbl>
    <w:p>
      <w:pPr>
        <w:spacing w:after="0" w:before="160"/>
      </w:pPr>
    </w:p>
    <w:p>
      <w:pPr>
        <w:spacing w:after="80" w:before="180"/>
      </w:pPr>
      <w:r>
        <w:rPr>
          <w:rFonts w:ascii="Arial" w:cs="Arial" w:eastAsia="Arial" w:hAnsi="Arial"/>
          <w:b/>
          <w:bCs/>
          <w:color w:val="1B3A5C"/>
          <w:sz w:val="24"/>
          <w:szCs w:val="24"/>
        </w:rPr>
        <w:t xml:space="preserve">OPENING</w:t>
      </w:r>
    </w:p>
    <w:p>
      <w:pPr>
        <w:spacing w:after="60" w:before="0"/>
        <w:jc w:val="left"/>
      </w:pPr>
      <w:r>
        <w:rPr>
          <w:rFonts w:ascii="Arial" w:cs="Arial" w:eastAsia="Arial" w:hAnsi="Arial"/>
          <w:b w:val="false"/>
          <w:bCs w:val="false"/>
          <w:color w:val="D97706"/>
          <w:sz w:val="18"/>
          <w:szCs w:val="18"/>
        </w:rPr>
        <w:t xml:space="preserve">~2 minutes</w:t>
      </w:r>
    </w:p>
    <w:p>
      <w:pPr>
        <w:spacing w:after="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I want to start with a question: what do you actually know about a patient before they walk through your door? You have their chart. You have what they tell you. But you probably don’t know much about where they live — and where someone lives is one of the strongest predictors of health outcomes. Their ZIP code can tell you more about their likely blood pressure than their family history. Nursing students have traditionally gotten that context through what’s called a windshield survey — driving through a neighborhood and observing what’s there: housing conditions, transit access, green space, visible stress. This platform turns that qualitative observation into quantitative data.
This platform is an attempt to close that gap. Not for individual clinical decisions, but for understanding what your patients are navigating before they get to you — and who’s already working on those problems in their neighborhood.</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single" w:color="1B3A5C" w:sz="6"/>
              <w:right w:val="none" w:color="FFFFFF" w:sz="0"/>
            </w:tcBorders>
            <w:shd w:fill="1B3A5C" w:val="clear"/>
            <w:tcMar>
              <w:top w:type="dxa" w:w="100"/>
              <w:left w:type="dxa" w:w="160"/>
              <w:bottom w:type="dxa" w:w="100"/>
              <w:right w:type="dxa" w:w="100"/>
            </w:tcMar>
          </w:tcPr>
          <w:p>
            <w:r>
              <w:rPr>
                <w:rFonts w:ascii="Arial" w:cs="Arial" w:eastAsia="Arial" w:hAnsi="Arial"/>
                <w:b/>
                <w:bCs/>
                <w:color w:val="D97706"/>
                <w:sz w:val="22"/>
                <w:szCs w:val="22"/>
              </w:rPr>
              <w:t xml:space="preserve">STOP 1  </w:t>
            </w:r>
            <w:r>
              <w:rPr>
                <w:rFonts w:ascii="Arial" w:cs="Arial" w:eastAsia="Arial" w:hAnsi="Arial"/>
                <w:b/>
                <w:bCs/>
                <w:color w:val="FFFFFF"/>
                <w:sz w:val="22"/>
                <w:szCs w:val="22"/>
              </w:rPr>
              <w:t xml:space="preserve">YOUR ADDRESS  —  PRICE HILL</w:t>
            </w:r>
          </w:p>
          <w:p>
            <w:pPr>
              <w:spacing w:after="0" w:before="0"/>
            </w:pPr>
            <w:r>
              <w:rPr>
                <w:rFonts w:ascii="Arial" w:cs="Arial" w:eastAsia="Arial" w:hAnsi="Arial"/>
                <w:color w:val="D1D5DB"/>
                <w:sz w:val="18"/>
                <w:szCs w:val="18"/>
              </w:rPr>
              <w:t xml:space="preserve">1015 Rutledge Ave, Cincinnati OH 45205</w:t>
            </w:r>
          </w:p>
        </w:tc>
        <w:tc>
          <w:tcPr>
            <w:tcW w:type="dxa" w:w="2160"/>
            <w:tcBorders>
              <w:top w:val="none" w:color="FFFFFF" w:sz="0"/>
              <w:left w:val="none" w:color="FFFFFF" w:sz="0"/>
              <w:bottom w:val="single" w:color="1B3A5C" w:sz="6"/>
              <w:right w:val="none" w:color="FFFFFF" w:sz="0"/>
            </w:tcBorders>
            <w:shd w:fill="1B3A5C" w:val="clear"/>
            <w:tcMar>
              <w:top w:type="dxa" w:w="100"/>
              <w:left w:type="dxa" w:w="100"/>
              <w:bottom w:type="dxa" w:w="100"/>
              <w:right w:type="dxa" w:w="160"/>
            </w:tcMar>
            <w:vAlign w:val="center"/>
          </w:tcPr>
          <w:p>
            <w:pPr>
              <w:jc w:val="right"/>
            </w:pPr>
            <w:r>
              <w:rPr>
                <w:rFonts w:ascii="Arial" w:cs="Arial" w:eastAsia="Arial" w:hAnsi="Arial"/>
                <w:b/>
                <w:bCs/>
                <w:color w:val="D97706"/>
                <w:sz w:val="20"/>
                <w:szCs w:val="20"/>
              </w:rPr>
              <w:t xml:space="preserve">~5 min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Type “1015 Rutledge Ave” — select the Cincinnati, Ohio 45205 result. Wait for map to load.</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I’ll start with where I live — Price Hill, on Cincinnati’s west side. Watch what loads just from an address.</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the At a Glance cards.</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Crime incidents, flood zone, transit stops, schools. All live, all from public sources. Now let me scroll to the card I think matters most for this audience.</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LEAD SERVICE LINE RISK.</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Elevated Risk. 159 of 439 service lines in this part of Price Hill are lead or galvanized — materials that can leach lead into drinking water. That’s more than one in three. Notice what the platform does here: it doesn’t just show the number. It shows what to do. Free inspection from GCWW. Free blood lead test for children under 6 from the Cincinnati Health Department. Free. How many of your patients’ families in this neighborhood know that?</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past organizations — pause at PRICE HILL WILL card.</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Price Hill Will. Local organization — housing rehab, community programs, resource connections. It has a phone number. This is what we mean by data to action: not just ‘awareness,’ but a path to the people already doing the work.</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CIVIC MEETINGS section.</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Right now, today, there are public meetings where residents can speak to who gets what resources. The CDBG comment period is open — that’s how federal housing and anti-poverty dollars get allocated. The platform tells you when to show up and how.</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single" w:color="1B3A5C" w:sz="6"/>
              <w:right w:val="none" w:color="FFFFFF" w:sz="0"/>
            </w:tcBorders>
            <w:shd w:fill="1B3A5C" w:val="clear"/>
            <w:tcMar>
              <w:top w:type="dxa" w:w="100"/>
              <w:left w:type="dxa" w:w="160"/>
              <w:bottom w:type="dxa" w:w="100"/>
              <w:right w:type="dxa" w:w="100"/>
            </w:tcMar>
          </w:tcPr>
          <w:p>
            <w:r>
              <w:rPr>
                <w:rFonts w:ascii="Arial" w:cs="Arial" w:eastAsia="Arial" w:hAnsi="Arial"/>
                <w:b/>
                <w:bCs/>
                <w:color w:val="D97706"/>
                <w:sz w:val="22"/>
                <w:szCs w:val="22"/>
              </w:rPr>
              <w:t xml:space="preserve">STOP 2  </w:t>
            </w:r>
            <w:r>
              <w:rPr>
                <w:rFonts w:ascii="Arial" w:cs="Arial" w:eastAsia="Arial" w:hAnsi="Arial"/>
                <w:b/>
                <w:bCs/>
                <w:color w:val="FFFFFF"/>
                <w:sz w:val="22"/>
                <w:szCs w:val="22"/>
              </w:rPr>
              <w:t xml:space="preserve">YOUR BUILDING  —  UC COLLEGE OF NURSING</w:t>
            </w:r>
          </w:p>
          <w:p>
            <w:pPr>
              <w:spacing w:after="0" w:before="0"/>
            </w:pPr>
            <w:r>
              <w:rPr>
                <w:rFonts w:ascii="Arial" w:cs="Arial" w:eastAsia="Arial" w:hAnsi="Arial"/>
                <w:color w:val="D1D5DB"/>
                <w:sz w:val="18"/>
                <w:szCs w:val="18"/>
              </w:rPr>
              <w:t xml:space="preserve">3110 Vine St, Cincinnati OH 45219</w:t>
            </w:r>
          </w:p>
        </w:tc>
        <w:tc>
          <w:tcPr>
            <w:tcW w:type="dxa" w:w="2160"/>
            <w:tcBorders>
              <w:top w:val="none" w:color="FFFFFF" w:sz="0"/>
              <w:left w:val="none" w:color="FFFFFF" w:sz="0"/>
              <w:bottom w:val="single" w:color="1B3A5C" w:sz="6"/>
              <w:right w:val="none" w:color="FFFFFF" w:sz="0"/>
            </w:tcBorders>
            <w:shd w:fill="1B3A5C" w:val="clear"/>
            <w:tcMar>
              <w:top w:type="dxa" w:w="100"/>
              <w:left w:type="dxa" w:w="100"/>
              <w:bottom w:type="dxa" w:w="100"/>
              <w:right w:type="dxa" w:w="160"/>
            </w:tcMar>
            <w:vAlign w:val="center"/>
          </w:tcPr>
          <w:p>
            <w:pPr>
              <w:jc w:val="right"/>
            </w:pPr>
            <w:r>
              <w:rPr>
                <w:rFonts w:ascii="Arial" w:cs="Arial" w:eastAsia="Arial" w:hAnsi="Arial"/>
                <w:b/>
                <w:bCs/>
                <w:color w:val="D97706"/>
                <w:sz w:val="20"/>
                <w:szCs w:val="20"/>
              </w:rPr>
              <w:t xml:space="preserve">~5 min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Clear search. Type “3110 Vine St” — select Cincinnati, Ohio 45219. Wait for map.</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Now let me look up your building.</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At a Glance.</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This is Corryville — right at the edge of Clifton. Notice the crime number and the profile. More vehicle crime than personal theft. That’s a student and campus pattern, not an economic-stress pattern. Same count, different story.</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LEAD SERVICE LINE RISK.</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Moderate Risk. 10 of 77 lines — about 13%. Compare that to Elevated Risk in Price Hill at 36%. The platform’s own language. That difference represents a real gap in baseline lead exposure between the neighborhood your building sits in and the neighborhoods many of your patients come from.</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Navigate to Neighborhoods tab. Search for “Clifton.” Scroll to the Racial Equity section.</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Here’s the number I want you to sit with. In Clifton — your neighborhood — white residents have a median household income of roughly $98,000. Black residents in the same neighborhood have a median income of $16,500. And Black mortgage applicants are approved at 54% versus 86% for white applicants. A 31-point gap. Same neighborhood. This is where your school is.</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NOTE</w:t>
            </w:r>
          </w:p>
        </w:tc>
        <w:tc>
          <w:tcPr>
            <w:tcW w:type="dxa" w:w="8460"/>
            <w:tcBorders>
              <w:top w:val="single" w:color="D1D5DB" w:sz="1"/>
              <w:left w:val="single" w:color="D1D5DB" w:sz="1"/>
              <w:bottom w:val="single" w:color="D1D5DB" w:sz="1"/>
              <w:right w:val="single" w:color="D1D5DB" w:sz="1"/>
            </w:tcBorders>
            <w:shd w:fill="FEF9EE" w:val="clear"/>
            <w:tcMar>
              <w:top w:type="dxa" w:w="60"/>
              <w:left w:type="dxa" w:w="140"/>
              <w:bottom w:type="dxa" w:w="60"/>
              <w:right w:type="dxa" w:w="100"/>
            </w:tcMar>
          </w:tcPr>
          <w:p>
            <w:r>
              <w:rPr>
                <w:rFonts w:ascii="Arial" w:cs="Arial" w:eastAsia="Arial" w:hAnsi="Arial"/>
                <w:color w:val="111827"/>
                <w:sz w:val="20"/>
                <w:szCs w:val="20"/>
              </w:rPr>
              <w:t xml:space="preserve">This is the most powerful moment in the demo. Pause here. Let it land before moving on.</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This isn’t a Price Hill problem. It’s a Cincinnati problem. And it’s visible in the data, in the neighborhood your institution sits in.</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single" w:color="1B3A5C" w:sz="6"/>
              <w:right w:val="none" w:color="FFFFFF" w:sz="0"/>
            </w:tcBorders>
            <w:shd w:fill="1B3A5C" w:val="clear"/>
            <w:tcMar>
              <w:top w:type="dxa" w:w="100"/>
              <w:left w:type="dxa" w:w="160"/>
              <w:bottom w:type="dxa" w:w="100"/>
              <w:right w:type="dxa" w:w="100"/>
            </w:tcMar>
          </w:tcPr>
          <w:p>
            <w:r>
              <w:rPr>
                <w:rFonts w:ascii="Arial" w:cs="Arial" w:eastAsia="Arial" w:hAnsi="Arial"/>
                <w:b/>
                <w:bCs/>
                <w:color w:val="D97706"/>
                <w:sz w:val="22"/>
                <w:szCs w:val="22"/>
              </w:rPr>
              <w:t xml:space="preserve">STOP 3  </w:t>
            </w:r>
            <w:r>
              <w:rPr>
                <w:rFonts w:ascii="Arial" w:cs="Arial" w:eastAsia="Arial" w:hAnsi="Arial"/>
                <w:b/>
                <w:bCs/>
                <w:color w:val="FFFFFF"/>
                <w:sz w:val="22"/>
                <w:szCs w:val="22"/>
              </w:rPr>
              <w:t xml:space="preserve">CHANGE IN PROGRESS  —  WALNUT HILLS</w:t>
            </w:r>
          </w:p>
          <w:p>
            <w:pPr>
              <w:spacing w:after="0" w:before="0"/>
            </w:pPr>
            <w:r>
              <w:rPr>
                <w:rFonts w:ascii="Arial" w:cs="Arial" w:eastAsia="Arial" w:hAnsi="Arial"/>
                <w:color w:val="D1D5DB"/>
                <w:sz w:val="18"/>
                <w:szCs w:val="18"/>
              </w:rPr>
              <w:t xml:space="preserve">2715 Woodburn Ave, Cincinnati OH 45206</w:t>
            </w:r>
          </w:p>
        </w:tc>
        <w:tc>
          <w:tcPr>
            <w:tcW w:type="dxa" w:w="2160"/>
            <w:tcBorders>
              <w:top w:val="none" w:color="FFFFFF" w:sz="0"/>
              <w:left w:val="none" w:color="FFFFFF" w:sz="0"/>
              <w:bottom w:val="single" w:color="1B3A5C" w:sz="6"/>
              <w:right w:val="none" w:color="FFFFFF" w:sz="0"/>
            </w:tcBorders>
            <w:shd w:fill="1B3A5C" w:val="clear"/>
            <w:tcMar>
              <w:top w:type="dxa" w:w="100"/>
              <w:left w:type="dxa" w:w="100"/>
              <w:bottom w:type="dxa" w:w="100"/>
              <w:right w:type="dxa" w:w="160"/>
            </w:tcMar>
            <w:vAlign w:val="center"/>
          </w:tcPr>
          <w:p>
            <w:pPr>
              <w:jc w:val="right"/>
            </w:pPr>
            <w:r>
              <w:rPr>
                <w:rFonts w:ascii="Arial" w:cs="Arial" w:eastAsia="Arial" w:hAnsi="Arial"/>
                <w:b/>
                <w:bCs/>
                <w:color w:val="D97706"/>
                <w:sz w:val="20"/>
                <w:szCs w:val="20"/>
              </w:rPr>
              <w:t xml:space="preserve">~3 min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Clear search. Type “2715 Woodburn Ave” — select Cincinnati, Ohio 45206.</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Walnut Hills. If you’ve driven down Madison Road in the last five years you’ve seen it changing — new restaurants, renovated storefronts, rising rents. This is a neighborhood in active transition.</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At a Glance. Note zoning (Commercial), transit stops, schools nearby.</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Zoned commercial — we’re on the Woodburn corridor. 11 schools nearby — the most of any address we’ve looked at. A lot of families in this neighborhood.</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LEAD SERVICE LINE RISK.</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Moderate Risk again — East Walnut Hills, 18 of 134 lines. What the data doesn’t show directly is what’s happening to the people who’ve lived here for decades as the neighborhood changes around them.</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0F766E"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DO</w:t>
            </w:r>
          </w:p>
        </w:tc>
        <w:tc>
          <w:tcPr>
            <w:tcW w:type="dxa" w:w="8460"/>
            <w:tcBorders>
              <w:top w:val="single" w:color="D1D5DB" w:sz="1"/>
              <w:left w:val="single" w:color="D1D5DB" w:sz="1"/>
              <w:bottom w:val="single" w:color="D1D5DB" w:sz="1"/>
              <w:right w:val="single" w:color="D1D5DB" w:sz="1"/>
            </w:tcBorders>
            <w:shd w:fill="EEF9F8" w:val="clear"/>
            <w:tcMar>
              <w:top w:type="dxa" w:w="60"/>
              <w:left w:type="dxa" w:w="140"/>
              <w:bottom w:type="dxa" w:w="60"/>
              <w:right w:type="dxa" w:w="100"/>
            </w:tcMar>
          </w:tcPr>
          <w:p>
            <w:r>
              <w:rPr>
                <w:rFonts w:ascii="Arial" w:cs="Arial" w:eastAsia="Arial" w:hAnsi="Arial"/>
                <w:color w:val="111827"/>
                <w:sz w:val="20"/>
                <w:szCs w:val="20"/>
              </w:rPr>
              <w:t xml:space="preserve">Scroll to organizations — point out Communities Act Now (CAN).</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Communities Act Now. Displacement, predatory lending, biased policing. That organization exists because of what’s happening on these streets right now. The platform surfaces it because this neighborhood matches those patterns. That’s not coincidence — that’s the tool working.</w:t>
            </w:r>
          </w:p>
        </w:tc>
      </w:tr>
    </w:tbl>
    <w:p>
      <w:pPr>
        <w:spacing w:after="0" w:before="160"/>
      </w:pPr>
    </w:p>
    <w:p>
      <w:pPr>
        <w:spacing w:after="80" w:before="180"/>
      </w:pPr>
      <w:r>
        <w:rPr>
          <w:rFonts w:ascii="Arial" w:cs="Arial" w:eastAsia="Arial" w:hAnsi="Arial"/>
          <w:b/>
          <w:bCs/>
          <w:color w:val="1B3A5C"/>
          <w:sz w:val="24"/>
          <w:szCs w:val="24"/>
        </w:rPr>
        <w:t xml:space="preserve">CLOSING</w:t>
      </w:r>
    </w:p>
    <w:p>
      <w:pPr>
        <w:spacing w:after="60" w:before="0"/>
        <w:jc w:val="left"/>
      </w:pPr>
      <w:r>
        <w:rPr>
          <w:rFonts w:ascii="Arial" w:cs="Arial" w:eastAsia="Arial" w:hAnsi="Arial"/>
          <w:b w:val="false"/>
          <w:bCs w:val="false"/>
          <w:color w:val="D97706"/>
          <w:sz w:val="18"/>
          <w:szCs w:val="18"/>
        </w:rPr>
        <w:t xml:space="preserve">~2 minutes</w:t>
      </w:r>
    </w:p>
    <w:p>
      <w:pPr>
        <w:spacing w:after="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SAY</w:t>
            </w:r>
          </w:p>
        </w:tc>
        <w:tc>
          <w:tcPr>
            <w:tcW w:type="dxa" w:w="8460"/>
            <w:tcBorders>
              <w:top w:val="single" w:color="D1D5DB" w:sz="1"/>
              <w:left w:val="single" w:color="D1D5DB" w:sz="1"/>
              <w:bottom w:val="single" w:color="D1D5DB" w:sz="1"/>
              <w:right w:val="single" w:color="D1D5DB" w:sz="1"/>
            </w:tcBorders>
            <w:shd w:fill="EEF1F6" w:val="clear"/>
            <w:tcMar>
              <w:top w:type="dxa" w:w="60"/>
              <w:left w:type="dxa" w:w="140"/>
              <w:bottom w:type="dxa" w:w="60"/>
              <w:right w:type="dxa" w:w="100"/>
            </w:tcMar>
          </w:tcPr>
          <w:p>
            <w:r>
              <w:rPr>
                <w:rFonts w:ascii="Arial" w:cs="Arial" w:eastAsia="Arial" w:hAnsi="Arial"/>
                <w:color w:val="111827"/>
                <w:sz w:val="20"/>
                <w:szCs w:val="20"/>
              </w:rPr>
              <w:t xml:space="preserve">What you’ve seen in the last 15 minutes is the same tool a resident, an advocate, a journalist, and now potentially a nursing student could use. But it’s designed to do something specific: make the structural forces shaping someone’s health visible before they walk through a clinical door.
Cincinnati is divided — not just by income or race, but by hills and highways that make it easy to never know your neighbor. This is an attempt to make that harder. We’re building it as public infrastructure. And we’re here because we believe the people who understand health at the population level — nurses, public health educators, community practitioners — should be part of shaping what this becomes.</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NOTE</w:t>
            </w:r>
          </w:p>
        </w:tc>
        <w:tc>
          <w:tcPr>
            <w:tcW w:type="dxa" w:w="8460"/>
            <w:tcBorders>
              <w:top w:val="single" w:color="D1D5DB" w:sz="1"/>
              <w:left w:val="single" w:color="D1D5DB" w:sz="1"/>
              <w:bottom w:val="single" w:color="D1D5DB" w:sz="1"/>
              <w:right w:val="single" w:color="D1D5DB" w:sz="1"/>
            </w:tcBorders>
            <w:shd w:fill="FEF9EE" w:val="clear"/>
            <w:tcMar>
              <w:top w:type="dxa" w:w="60"/>
              <w:left w:type="dxa" w:w="140"/>
              <w:bottom w:type="dxa" w:w="60"/>
              <w:right w:type="dxa" w:w="100"/>
            </w:tcMar>
          </w:tcPr>
          <w:p>
            <w:r>
              <w:rPr>
                <w:rFonts w:ascii="Arial" w:cs="Arial" w:eastAsia="Arial" w:hAnsi="Arial"/>
                <w:color w:val="111827"/>
                <w:sz w:val="20"/>
                <w:szCs w:val="20"/>
              </w:rPr>
              <w:t xml:space="preserve">Open floor for questions. If the funding question surfaces — pull out the separate sheet.</w:t>
            </w:r>
          </w:p>
        </w:tc>
      </w:tr>
    </w:tbl>
    <w:p>
      <w:pPr>
        <w:spacing w:after="0" w:before="160"/>
      </w:pPr>
    </w:p>
    <w:p>
      <w:pPr>
        <w:spacing w:after="80" w:before="180"/>
      </w:pPr>
      <w:r>
        <w:rPr>
          <w:rFonts w:ascii="Arial" w:cs="Arial" w:eastAsia="Arial" w:hAnsi="Arial"/>
          <w:b/>
          <w:bCs/>
          <w:color w:val="1B3A5C"/>
          <w:sz w:val="24"/>
          <w:szCs w:val="24"/>
        </w:rPr>
        <w:t xml:space="preserve">IF THEY ASK…</w:t>
      </w:r>
    </w:p>
    <w:p>
      <w:pPr>
        <w:spacing w:after="0" w:before="40"/>
      </w:pPr>
    </w:p>
    <w:p>
      <w:pPr>
        <w:spacing w:after="20" w:before="120"/>
      </w:pPr>
      <w:r>
        <w:rPr>
          <w:rFonts w:ascii="Arial" w:cs="Arial" w:eastAsia="Arial" w:hAnsi="Arial"/>
          <w:b/>
          <w:bCs/>
          <w:color w:val="1B3A5C"/>
          <w:sz w:val="20"/>
          <w:szCs w:val="20"/>
        </w:rPr>
        <w:t xml:space="preserve">“Can you look up my address?”</w:t>
      </w:r>
    </w:p>
    <w:p>
      <w:pPr>
        <w:spacing w:after="60" w:before="0"/>
      </w:pPr>
      <w:r>
        <w:rPr>
          <w:rFonts w:ascii="Arial" w:cs="Arial" w:eastAsia="Arial" w:hAnsi="Arial"/>
          <w:color w:val="111827"/>
          <w:sz w:val="20"/>
          <w:szCs w:val="20"/>
        </w:rPr>
        <w:t xml:space="preserve">Yes — absolutely. Type it in or hand them the keyboard. Scroll past the Plain English Summary section (the AI summary is a feature we’re actively improving — skip it for now and say so honestly).</w:t>
      </w:r>
    </w:p>
    <w:p>
      <w:pPr>
        <w:pBdr>
          <w:bottom w:val="single" w:color="D1D5DB" w:sz="2"/>
        </w:pBdr>
        <w:spacing w:after="100" w:before="100"/>
      </w:pPr>
    </w:p>
    <w:p>
      <w:pPr>
        <w:spacing w:after="20" w:before="120"/>
      </w:pPr>
      <w:r>
        <w:rPr>
          <w:rFonts w:ascii="Arial" w:cs="Arial" w:eastAsia="Arial" w:hAnsi="Arial"/>
          <w:b/>
          <w:bCs/>
          <w:color w:val="1B3A5C"/>
          <w:sz w:val="20"/>
          <w:szCs w:val="20"/>
        </w:rPr>
        <w:t xml:space="preserve">“How current is this data?”</w:t>
      </w:r>
    </w:p>
    <w:p>
      <w:pPr>
        <w:spacing w:after="60" w:before="0"/>
      </w:pPr>
      <w:r>
        <w:rPr>
          <w:rFonts w:ascii="Arial" w:cs="Arial" w:eastAsia="Arial" w:hAnsi="Arial"/>
          <w:color w:val="111827"/>
          <w:sz w:val="20"/>
          <w:szCs w:val="20"/>
        </w:rPr>
        <w:t xml:space="preserve">Crime and 311 update daily via Cincinnati Open Data. Lead service line data is March 2026. Environmental (air quality) data is 2019 — the EPA hasn’t updated since. We disclose all vintages in the About &amp; Methods page and directly in the UI.</w:t>
      </w:r>
    </w:p>
    <w:p>
      <w:pPr>
        <w:pBdr>
          <w:bottom w:val="single" w:color="D1D5DB" w:sz="2"/>
        </w:pBdr>
        <w:spacing w:after="100" w:before="100"/>
      </w:pPr>
    </w:p>
    <w:p>
      <w:pPr>
        <w:spacing w:after="20" w:before="120"/>
      </w:pPr>
      <w:r>
        <w:rPr>
          <w:rFonts w:ascii="Arial" w:cs="Arial" w:eastAsia="Arial" w:hAnsi="Arial"/>
          <w:b/>
          <w:bCs/>
          <w:color w:val="1B3A5C"/>
          <w:sz w:val="20"/>
          <w:szCs w:val="20"/>
        </w:rPr>
        <w:t xml:space="preserve">“Is this HIPAA compliant?”</w:t>
      </w:r>
    </w:p>
    <w:p>
      <w:pPr>
        <w:spacing w:after="60" w:before="0"/>
      </w:pPr>
      <w:r>
        <w:rPr>
          <w:rFonts w:ascii="Arial" w:cs="Arial" w:eastAsia="Arial" w:hAnsi="Arial"/>
          <w:color w:val="111827"/>
          <w:sz w:val="20"/>
          <w:szCs w:val="20"/>
        </w:rPr>
        <w:t xml:space="preserve">This platform doesn’t touch patient data — it’s entirely public data about places, not people. HIPAA governs patient records; this is a research and education tool that sits entirely outside the clinical encounter.</w:t>
      </w:r>
    </w:p>
    <w:p>
      <w:pPr>
        <w:pBdr>
          <w:bottom w:val="single" w:color="D1D5DB" w:sz="2"/>
        </w:pBdr>
        <w:spacing w:after="100" w:before="100"/>
      </w:pPr>
    </w:p>
    <w:p>
      <w:pPr>
        <w:spacing w:after="20" w:before="120"/>
      </w:pPr>
      <w:r>
        <w:rPr>
          <w:rFonts w:ascii="Arial" w:cs="Arial" w:eastAsia="Arial" w:hAnsi="Arial"/>
          <w:b/>
          <w:bCs/>
          <w:color w:val="1B3A5C"/>
          <w:sz w:val="20"/>
          <w:szCs w:val="20"/>
        </w:rPr>
        <w:t xml:space="preserve">“Could students use this?”</w:t>
      </w:r>
    </w:p>
    <w:p>
      <w:pPr>
        <w:spacing w:after="60" w:before="0"/>
      </w:pPr>
      <w:r>
        <w:rPr>
          <w:rFonts w:ascii="Arial" w:cs="Arial" w:eastAsia="Arial" w:hAnsi="Arial"/>
          <w:color w:val="111827"/>
          <w:sz w:val="20"/>
          <w:szCs w:val="20"/>
        </w:rPr>
        <w:t xml:space="preserve">That’s exactly the use case we’d want to build toward. A student could look up a patient’s neighborhood and understand the context before a home visit or community health rotation. The bias consideration worth naming: this is a system-level tool — neighborhood patterns don’t define individual patients. That distinction is actually a rich classroom discussion.</w:t>
      </w:r>
    </w:p>
    <w:p>
      <w:pPr>
        <w:pBdr>
          <w:bottom w:val="single" w:color="D1D5DB" w:sz="2"/>
        </w:pBdr>
        <w:spacing w:after="100" w:before="100"/>
      </w:pPr>
    </w:p>
    <w:p>
      <w:pPr>
        <w:spacing w:after="20" w:before="120"/>
      </w:pPr>
      <w:r>
        <w:rPr>
          <w:rFonts w:ascii="Arial" w:cs="Arial" w:eastAsia="Arial" w:hAnsi="Arial"/>
          <w:b/>
          <w:bCs/>
          <w:color w:val="1B3A5C"/>
          <w:sz w:val="20"/>
          <w:szCs w:val="20"/>
        </w:rPr>
        <w:t xml:space="preserve">“Where does the AI fit in?”</w:t>
      </w:r>
    </w:p>
    <w:p>
      <w:pPr>
        <w:spacing w:after="60" w:before="0"/>
      </w:pPr>
      <w:r>
        <w:rPr>
          <w:rFonts w:ascii="Arial" w:cs="Arial" w:eastAsia="Arial" w:hAnsi="Arial"/>
          <w:color w:val="111827"/>
          <w:sz w:val="20"/>
          <w:szCs w:val="20"/>
        </w:rPr>
        <w:t xml:space="preserve">There’s an AI summary feature we’re actively improving — it synthesizes the address data into plain language. It’s not demo-ready yet: quality is inconsistent and it occasionally misidentifies the neighborhood. Better AI summaries are one of the things that funding would accelerate.</w:t>
      </w:r>
    </w:p>
    <w:p>
      <w:pPr>
        <w:pBdr>
          <w:bottom w:val="single" w:color="D1D5DB" w:sz="2"/>
        </w:pBdr>
        <w:spacing w:after="100" w:before="100"/>
      </w:pPr>
    </w:p>
    <w:p>
      <w:pPr>
        <w:spacing w:after="20" w:before="120"/>
      </w:pPr>
      <w:r>
        <w:rPr>
          <w:rFonts w:ascii="Arial" w:cs="Arial" w:eastAsia="Arial" w:hAnsi="Arial"/>
          <w:b/>
          <w:bCs/>
          <w:color w:val="1B3A5C"/>
          <w:sz w:val="20"/>
          <w:szCs w:val="20"/>
        </w:rPr>
        <w:t xml:space="preserve">“What would funding return?”</w:t>
      </w:r>
    </w:p>
    <w:p>
      <w:pPr>
        <w:spacing w:after="60" w:before="0"/>
      </w:pPr>
      <w:r>
        <w:rPr>
          <w:rFonts w:ascii="Arial" w:cs="Arial" w:eastAsia="Arial" w:hAnsi="Arial"/>
          <w:color w:val="111827"/>
          <w:sz w:val="20"/>
          <w:szCs w:val="20"/>
        </w:rPr>
        <w:t xml:space="preserve">Pull out the separate sheet here.</w:t>
      </w:r>
    </w:p>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B91C1C"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SKIP</w:t>
            </w:r>
          </w:p>
        </w:tc>
        <w:tc>
          <w:tcPr>
            <w:tcW w:type="dxa" w:w="8460"/>
            <w:tcBorders>
              <w:top w:val="single" w:color="D1D5DB" w:sz="1"/>
              <w:left w:val="single" w:color="D1D5DB" w:sz="1"/>
              <w:bottom w:val="single" w:color="D1D5DB" w:sz="1"/>
              <w:right w:val="single" w:color="D1D5DB" w:sz="1"/>
            </w:tcBorders>
            <w:shd w:fill="FEF2F2" w:val="clear"/>
            <w:tcMar>
              <w:top w:type="dxa" w:w="60"/>
              <w:left w:type="dxa" w:w="140"/>
              <w:bottom w:type="dxa" w:w="60"/>
              <w:right w:type="dxa" w:w="100"/>
            </w:tcMar>
          </w:tcPr>
          <w:p>
            <w:r>
              <w:rPr>
                <w:rFonts w:ascii="Arial" w:cs="Arial" w:eastAsia="Arial" w:hAnsi="Arial"/>
                <w:color w:val="111827"/>
                <w:sz w:val="20"/>
                <w:szCs w:val="20"/>
              </w:rPr>
              <w:t xml:space="preserve">DO NOT use the AI “Explain This Record” button during the demo. It stalls mid-sentence and misidentifies neighborhoods. When asked about it, be direct: it’s a feature in progress, not ready for the spotlight yet.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rFonts w:ascii="Arial" w:cs="Arial" w:eastAsia="Arial" w:hAnsi="Arial"/>
        <w:color w:val="D1D5DB"/>
        <w:sz w:val="16"/>
        <w:szCs w:val="16"/>
      </w:rPr>
      <w:t xml:space="preserve">cincinnati-civic-data.vercel.app  |  confidential draft  |  </w:t>
    </w:r>
    <w:r>
      <w:rPr>
        <w:rFonts w:ascii="Arial" w:cs="Arial" w:eastAsia="Arial" w:hAnsi="Arial"/>
        <w:color w:val="D1D5D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pBdr>
      <w:jc w:val="right"/>
    </w:pPr>
    <w:r>
      <w:rPr>
        <w:rFonts w:ascii="Arial" w:cs="Arial" w:eastAsia="Arial" w:hAnsi="Arial"/>
        <w:color w:val="D1D5DB"/>
        <w:sz w:val="16"/>
        <w:szCs w:val="16"/>
      </w:rPr>
      <w:t xml:space="preserve">DEMO SCRIPT  —  Cincinnati Civic Data Platform  —  UC College of Nursing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2026-04-19T13:01:49.903Z</dcterms:created>
  <dcterms:modified xsi:type="dcterms:W3CDTF">2026-04-19T13:01:49.903Z</dcterms:modified>
</cp:coreProperties>
</file>

<file path=docProps/custom.xml><?xml version="1.0" encoding="utf-8"?>
<Properties xmlns="http://schemas.openxmlformats.org/officeDocument/2006/custom-properties" xmlns:vt="http://schemas.openxmlformats.org/officeDocument/2006/docPropsVTypes"/>
</file>