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B3A5C" w:val="clear"/>
            <w:tcMar>
              <w:top w:type="dxa" w:w="140"/>
              <w:left w:type="dxa" w:w="200"/>
              <w:bottom w:type="dxa" w:w="140"/>
              <w:right w:type="dxa" w:w="200"/>
            </w:tcMar>
            <w:vAlign w:val="top"/>
          </w:tcPr>
          <w:p>
            <w:pPr>
              <w:spacing w:after="10" w:before="0"/>
              <w:jc w:val="left"/>
            </w:pPr>
            <w:r>
              <w:rPr>
                <w:rFonts w:ascii="Arial" w:cs="Arial" w:eastAsia="Arial" w:hAnsi="Arial"/>
                <w:b/>
                <w:bCs/>
                <w:color w:val="FFFFFF"/>
                <w:sz w:val="22"/>
                <w:szCs w:val="22"/>
              </w:rPr>
              <w:t xml:space="preserve">Cincinnati Civic Data Platform</w:t>
            </w:r>
          </w:p>
          <w:p>
            <w:pPr>
              <w:spacing w:after="0" w:before="0"/>
              <w:jc w:val="left"/>
            </w:pPr>
            <w:r>
              <w:rPr>
                <w:rFonts w:ascii="Arial" w:cs="Arial" w:eastAsia="Arial" w:hAnsi="Arial"/>
                <w:b w:val="false"/>
                <w:bCs w:val="false"/>
                <w:color w:val="CBD5E1"/>
                <w:sz w:val="17"/>
                <w:szCs w:val="17"/>
              </w:rPr>
              <w:t xml:space="preserve">A partnership opportunity in community health nursing education</w:t>
            </w:r>
          </w:p>
        </w:tc>
        <w:tc>
          <w:tcPr>
            <w:tcW w:type="dxa" w:w="2160"/>
            <w:tcBorders>
              <w:top w:val="none" w:color="FFFFFF" w:sz="0"/>
              <w:left w:val="none" w:color="FFFFFF" w:sz="0"/>
              <w:bottom w:val="none" w:color="FFFFFF" w:sz="0"/>
              <w:right w:val="none" w:color="FFFFFF" w:sz="0"/>
            </w:tcBorders>
            <w:shd w:fill="1B3A5C" w:val="clear"/>
            <w:tcMar>
              <w:top w:type="dxa" w:w="140"/>
              <w:left w:type="dxa" w:w="80"/>
              <w:bottom w:type="dxa" w:w="140"/>
              <w:right w:type="dxa" w:w="200"/>
            </w:tcMar>
            <w:vAlign w:val="center"/>
          </w:tcPr>
          <w:p>
            <w:pPr>
              <w:spacing w:after="6" w:before="0"/>
              <w:jc w:val="left"/>
            </w:pPr>
            <w:r>
              <w:rPr>
                <w:rFonts w:ascii="Arial" w:cs="Arial" w:eastAsia="Arial" w:hAnsi="Arial"/>
                <w:b w:val="false"/>
                <w:bCs w:val="false"/>
                <w:color w:val="94A3B8"/>
                <w:sz w:val="14"/>
                <w:szCs w:val="14"/>
              </w:rPr>
              <w:t xml:space="preserve">Prepared for</w:t>
            </w:r>
          </w:p>
          <w:p>
            <w:pPr>
              <w:spacing w:after="6" w:before="0"/>
              <w:jc w:val="left"/>
            </w:pPr>
            <w:r>
              <w:rPr>
                <w:rFonts w:ascii="Arial" w:cs="Arial" w:eastAsia="Arial" w:hAnsi="Arial"/>
                <w:b/>
                <w:bCs/>
                <w:color w:val="FFFFFF"/>
                <w:sz w:val="16"/>
                <w:szCs w:val="16"/>
              </w:rPr>
              <w:t xml:space="preserve">UC College of Nursing</w:t>
            </w:r>
          </w:p>
          <w:p>
            <w:pPr>
              <w:spacing w:after="0" w:before="0"/>
              <w:jc w:val="left"/>
            </w:pPr>
            <w:r>
              <w:rPr>
                <w:rFonts w:ascii="Arial" w:cs="Arial" w:eastAsia="Arial" w:hAnsi="Arial"/>
                <w:b w:val="false"/>
                <w:bCs w:val="false"/>
                <w:color w:val="94A3B8"/>
                <w:sz w:val="14"/>
                <w:szCs w:val="14"/>
              </w:rPr>
              <w:t xml:space="preserve">Spring 2026</w:t>
            </w:r>
          </w:p>
        </w:tc>
      </w:tr>
    </w:tbl>
    <w:p>
      <w:pPr>
        <w:spacing w:after="0" w:before="80"/>
        <w:jc w:val="left"/>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D97706" w:sz="16"/>
              <w:bottom w:val="none" w:color="FFFFFF" w:sz="0"/>
              <w:right w:val="none" w:color="FFFFFF" w:sz="0"/>
            </w:tcBorders>
            <w:shd w:fill="F3F4F6" w:val="clear"/>
            <w:tcMar>
              <w:top w:type="dxa" w:w="120"/>
              <w:left w:type="dxa" w:w="160"/>
              <w:bottom w:type="dxa" w:w="120"/>
              <w:right w:type="dxa" w:w="160"/>
            </w:tcMar>
            <w:vAlign w:val="top"/>
          </w:tcPr>
          <w:p>
            <w:pPr>
              <w:spacing w:after="20" w:before="0"/>
              <w:jc w:val="left"/>
            </w:pPr>
            <w:r>
              <w:rPr>
                <w:rFonts w:ascii="Arial" w:cs="Arial" w:eastAsia="Arial" w:hAnsi="Arial"/>
                <w:b/>
                <w:bCs/>
                <w:color w:val="111827"/>
                <w:sz w:val="18"/>
                <w:szCs w:val="18"/>
              </w:rPr>
              <w:t xml:space="preserve">Cincinnati Civic Data</w:t>
            </w:r>
            <w:r>
              <w:rPr>
                <w:rFonts w:ascii="Arial" w:cs="Arial" w:eastAsia="Arial" w:hAnsi="Arial"/>
                <w:b w:val="false"/>
                <w:bCs w:val="false"/>
                <w:color w:val="111827"/>
                <w:sz w:val="18"/>
                <w:szCs w:val="18"/>
              </w:rPr>
              <w:t xml:space="preserve"> aggregates and synthesizes public records across all 52 Cincinnati neighborhoods so that residents, advocates, and students arrive with context -- not assumptions. The platform currently integrates 12+ public data sources covering crime, housing, environmental health, transit, lead risk, and displacement.</w:t>
            </w:r>
          </w:p>
          <w:p>
            <w:pPr>
              <w:spacing w:after="0" w:before="0"/>
              <w:jc w:val="left"/>
            </w:pPr>
            <w:r>
              <w:rPr>
                <w:rFonts w:ascii="Arial" w:cs="Arial" w:eastAsia="Arial" w:hAnsi="Arial"/>
                <w:b w:val="false"/>
                <w:bCs w:val="false"/>
                <w:color w:val="6B7280"/>
                <w:sz w:val="17"/>
                <w:szCs w:val="17"/>
              </w:rPr>
              <w:t xml:space="preserve">This document outlines how a formal partnership with UC College of Nursing could advance shared priorities in </w:t>
            </w:r>
            <w:r>
              <w:rPr>
                <w:rFonts w:ascii="Arial" w:cs="Arial" w:eastAsia="Arial" w:hAnsi="Arial"/>
                <w:b/>
                <w:bCs/>
                <w:color w:val="6B7280"/>
                <w:sz w:val="17"/>
                <w:szCs w:val="17"/>
              </w:rPr>
              <w:t xml:space="preserve">community health education, applied research, and nursing workforce development</w:t>
            </w:r>
            <w:r>
              <w:rPr>
                <w:rFonts w:ascii="Arial" w:cs="Arial" w:eastAsia="Arial" w:hAnsi="Arial"/>
                <w:b w:val="false"/>
                <w:bCs w:val="false"/>
                <w:color w:val="6B7280"/>
                <w:sz w:val="17"/>
                <w:szCs w:val="17"/>
              </w:rPr>
              <w:t xml:space="preserve"> -- and what investment at different levels would return.</w:t>
            </w:r>
          </w:p>
        </w:tc>
      </w:tr>
    </w:tbl>
    <w:p>
      <w:pPr>
        <w:spacing w:after="0" w:before="100"/>
        <w:jc w:val="left"/>
      </w:pPr>
    </w:p>
    <w:p>
      <w:pPr>
        <w:spacing w:after="40" w:before="0"/>
        <w:jc w:val="left"/>
      </w:pPr>
      <w:r>
        <w:rPr>
          <w:rFonts w:ascii="Arial" w:cs="Arial" w:eastAsia="Arial" w:hAnsi="Arial"/>
          <w:b/>
          <w:bCs/>
          <w:color w:val="1B3A5C"/>
          <w:sz w:val="17"/>
          <w:szCs w:val="17"/>
        </w:rPr>
        <w:t xml:space="preserve">WHAT A PARTNERSHIP RETURNS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60"/>
        <w:gridCol w:w="4800"/>
      </w:tblGrid>
      <w:tr>
        <w:tc>
          <w:tcPr>
            <w:tcW w:type="dxa" w:w="4560"/>
            <w:tcBorders>
              <w:top w:val="none" w:color="FFFFFF" w:sz="0"/>
              <w:left w:val="single" w:color="1B3A5C" w:sz="16"/>
              <w:bottom w:val="none" w:color="FFFFFF" w:sz="0"/>
              <w:right w:val="none" w:color="FFFFFF" w:sz="0"/>
            </w:tcBorders>
            <w:shd w:fill="EEF2F7" w:val="clear"/>
            <w:tcMar>
              <w:top w:type="dxa" w:w="120"/>
              <w:left w:type="dxa" w:w="140"/>
              <w:bottom w:type="dxa" w:w="120"/>
              <w:right w:type="dxa" w:w="120"/>
            </w:tcMar>
            <w:vAlign w:val="top"/>
          </w:tcPr>
          <w:p>
            <w:pPr>
              <w:spacing w:after="28" w:before="0"/>
              <w:jc w:val="left"/>
            </w:pPr>
            <w:r>
              <w:rPr>
                <w:rFonts w:ascii="Arial" w:cs="Arial" w:eastAsia="Arial" w:hAnsi="Arial"/>
                <w:b/>
                <w:bCs/>
                <w:color w:val="1B3A5C"/>
                <w:sz w:val="17"/>
                <w:szCs w:val="17"/>
              </w:rPr>
              <w:t xml:space="preserve">🎓  Curriculum Differentiation</w:t>
            </w:r>
          </w:p>
          <w:p>
            <w:pPr>
              <w:spacing w:after="20" w:before="0"/>
              <w:jc w:val="left"/>
            </w:pPr>
            <w:r>
              <w:rPr>
                <w:rFonts w:ascii="Arial" w:cs="Arial" w:eastAsia="Arial" w:hAnsi="Arial"/>
                <w:b w:val="false"/>
                <w:bCs w:val="false"/>
                <w:color w:val="111827"/>
                <w:sz w:val="16"/>
                <w:szCs w:val="16"/>
              </w:rPr>
              <w:t xml:space="preserve">Prospective students choosing between nursing programs weigh clinical preparation quality. A program that sends students into communities with documented neighborhood context -- not just a street address -- signals serious investment in community health practice.</w:t>
            </w:r>
          </w:p>
          <w:p>
            <w:pPr>
              <w:spacing w:after="14" w:before="0"/>
              <w:jc w:val="left"/>
            </w:pPr>
            <w:r>
              <w:rPr>
                <w:rFonts w:ascii="Arial" w:cs="Arial" w:eastAsia="Arial" w:hAnsi="Arial"/>
                <w:b/>
                <w:bCs/>
                <w:color w:val="1B3A5C"/>
                <w:sz w:val="16"/>
                <w:szCs w:val="16"/>
              </w:rPr>
              <w:t xml:space="preserve">→ </w:t>
            </w:r>
            <w:r>
              <w:rPr>
                <w:rFonts w:ascii="Arial" w:cs="Arial" w:eastAsia="Arial" w:hAnsi="Arial"/>
                <w:b w:val="false"/>
                <w:bCs w:val="false"/>
                <w:color w:val="374151"/>
                <w:sz w:val="16"/>
                <w:szCs w:val="16"/>
              </w:rPr>
              <w:t xml:space="preserve">Distinctive feature for program marketing and accreditation materials</w:t>
            </w:r>
          </w:p>
          <w:p>
            <w:pPr>
              <w:spacing w:after="14" w:before="0"/>
              <w:jc w:val="left"/>
            </w:pPr>
            <w:r>
              <w:rPr>
                <w:rFonts w:ascii="Arial" w:cs="Arial" w:eastAsia="Arial" w:hAnsi="Arial"/>
                <w:b/>
                <w:bCs/>
                <w:color w:val="1B3A5C"/>
                <w:sz w:val="16"/>
                <w:szCs w:val="16"/>
              </w:rPr>
              <w:t xml:space="preserve">→ </w:t>
            </w:r>
            <w:r>
              <w:rPr>
                <w:rFonts w:ascii="Arial" w:cs="Arial" w:eastAsia="Arial" w:hAnsi="Arial"/>
                <w:b w:val="false"/>
                <w:bCs w:val="false"/>
                <w:color w:val="374151"/>
                <w:sz w:val="16"/>
                <w:szCs w:val="16"/>
              </w:rPr>
              <w:t xml:space="preserve">Relevant to students specifically drawn to community and public health nursing</w:t>
            </w:r>
          </w:p>
        </w:tc>
        <w:tc>
          <w:tcPr>
            <w:tcW w:type="dxa" w:w="4560"/>
            <w:tcBorders>
              <w:top w:val="none" w:color="FFFFFF" w:sz="0"/>
              <w:left w:val="single" w:color="0F766E" w:sz="16"/>
              <w:bottom w:val="none" w:color="FFFFFF" w:sz="0"/>
              <w:right w:val="none" w:color="FFFFFF" w:sz="0"/>
            </w:tcBorders>
            <w:shd w:fill="F0FDFA" w:val="clear"/>
            <w:tcMar>
              <w:top w:type="dxa" w:w="120"/>
              <w:left w:type="dxa" w:w="140"/>
              <w:bottom w:type="dxa" w:w="120"/>
              <w:right w:type="dxa" w:w="120"/>
            </w:tcMar>
            <w:vAlign w:val="top"/>
          </w:tcPr>
          <w:p>
            <w:pPr>
              <w:spacing w:after="28" w:before="0"/>
              <w:jc w:val="left"/>
            </w:pPr>
            <w:r>
              <w:rPr>
                <w:rFonts w:ascii="Arial" w:cs="Arial" w:eastAsia="Arial" w:hAnsi="Arial"/>
                <w:b/>
                <w:bCs/>
                <w:color w:val="0F766E"/>
                <w:sz w:val="17"/>
                <w:szCs w:val="17"/>
              </w:rPr>
              <w:t xml:space="preserve">🔬  Research &amp; Grant Positioning</w:t>
            </w:r>
          </w:p>
          <w:p>
            <w:pPr>
              <w:spacing w:after="20" w:before="0"/>
              <w:jc w:val="left"/>
            </w:pPr>
            <w:r>
              <w:rPr>
                <w:rFonts w:ascii="Arial" w:cs="Arial" w:eastAsia="Arial" w:hAnsi="Arial"/>
                <w:b w:val="false"/>
                <w:bCs w:val="false"/>
                <w:color w:val="111827"/>
                <w:sz w:val="16"/>
                <w:szCs w:val="16"/>
              </w:rPr>
              <w:t xml:space="preserve">IRB-approved user research on student preparation outcomes is publishable and creates a competitive foundation for federal health workforce grants.</w:t>
            </w:r>
          </w:p>
          <w:p>
            <w:pPr>
              <w:spacing w:after="14" w:before="0"/>
              <w:jc w:val="left"/>
            </w:pPr>
            <w:r>
              <w:rPr>
                <w:rFonts w:ascii="Arial" w:cs="Arial" w:eastAsia="Arial" w:hAnsi="Arial"/>
                <w:b/>
                <w:bCs/>
                <w:color w:val="0F766E"/>
                <w:sz w:val="16"/>
                <w:szCs w:val="16"/>
              </w:rPr>
              <w:t xml:space="preserve">→ </w:t>
            </w:r>
            <w:r>
              <w:rPr>
                <w:rFonts w:ascii="Arial" w:cs="Arial" w:eastAsia="Arial" w:hAnsi="Arial"/>
                <w:b w:val="false"/>
                <w:bCs w:val="false"/>
                <w:color w:val="374151"/>
                <w:sz w:val="16"/>
                <w:szCs w:val="16"/>
              </w:rPr>
              <w:t xml:space="preserve">Faculty co-investigator eligibility for HRSA, RWJF, and CDC community health grants</w:t>
            </w:r>
          </w:p>
          <w:p>
            <w:pPr>
              <w:spacing w:after="14" w:before="0"/>
              <w:jc w:val="left"/>
            </w:pPr>
            <w:r>
              <w:rPr>
                <w:rFonts w:ascii="Arial" w:cs="Arial" w:eastAsia="Arial" w:hAnsi="Arial"/>
                <w:b/>
                <w:bCs/>
                <w:color w:val="0F766E"/>
                <w:sz w:val="16"/>
                <w:szCs w:val="16"/>
              </w:rPr>
              <w:t xml:space="preserve">→ </w:t>
            </w:r>
            <w:r>
              <w:rPr>
                <w:rFonts w:ascii="Arial" w:cs="Arial" w:eastAsia="Arial" w:hAnsi="Arial"/>
                <w:b w:val="false"/>
                <w:bCs w:val="false"/>
                <w:color w:val="374151"/>
                <w:sz w:val="16"/>
                <w:szCs w:val="16"/>
              </w:rPr>
              <w:t xml:space="preserve">Publishable findings on community health data literacy outcomes</w:t>
            </w:r>
          </w:p>
          <w:p>
            <w:pPr>
              <w:spacing w:after="14" w:before="0"/>
              <w:jc w:val="left"/>
            </w:pPr>
            <w:r>
              <w:rPr>
                <w:rFonts w:ascii="Arial" w:cs="Arial" w:eastAsia="Arial" w:hAnsi="Arial"/>
                <w:b/>
                <w:bCs/>
                <w:color w:val="0F766E"/>
                <w:sz w:val="16"/>
                <w:szCs w:val="16"/>
              </w:rPr>
              <w:t xml:space="preserve">→ </w:t>
            </w:r>
            <w:r>
              <w:rPr>
                <w:rFonts w:ascii="Arial" w:cs="Arial" w:eastAsia="Arial" w:hAnsi="Arial"/>
                <w:b w:val="false"/>
                <w:bCs w:val="false"/>
                <w:color w:val="374151"/>
                <w:sz w:val="16"/>
                <w:szCs w:val="16"/>
              </w:rPr>
              <w:t xml:space="preserve">Longitudinal data as student cohorts use the platform over multiple semesters</w:t>
            </w:r>
          </w:p>
        </w:tc>
      </w:tr>
      <w:tr>
        <w:tc>
          <w:tcPr>
            <w:tcW w:type="dxa" w:w="9360"/>
            <w:tcBorders>
              <w:top w:val="none" w:color="FFFFFF" w:sz="0"/>
              <w:left w:val="none" w:color="FFFFFF" w:sz="0"/>
              <w:bottom w:val="none" w:color="FFFFFF" w:sz="0"/>
              <w:right w:val="none" w:color="FFFFFF" w:sz="0"/>
            </w:tcBorders>
            <w:shd w:fill="FFFFFF" w:val="clear"/>
            <w:tcMar>
              <w:top w:type="dxa" w:w="16"/>
            </w:tcMar>
            <w:vAlign w:val="top"/>
          </w:tcPr>
          <w:p/>
        </w:tc>
      </w:tr>
      <w:tr>
        <w:tc>
          <w:tcPr>
            <w:tcW w:type="dxa" w:w="4560"/>
            <w:tcBorders>
              <w:top w:val="none" w:color="FFFFFF" w:sz="0"/>
              <w:left w:val="single" w:color="D97706" w:sz="16"/>
              <w:bottom w:val="none" w:color="FFFFFF" w:sz="0"/>
              <w:right w:val="none" w:color="FFFFFF" w:sz="0"/>
            </w:tcBorders>
            <w:shd w:fill="FFFBEB" w:val="clear"/>
            <w:tcMar>
              <w:top w:type="dxa" w:w="120"/>
              <w:left w:type="dxa" w:w="140"/>
              <w:bottom w:type="dxa" w:w="120"/>
              <w:right w:type="dxa" w:w="120"/>
            </w:tcMar>
            <w:vAlign w:val="top"/>
          </w:tcPr>
          <w:p>
            <w:pPr>
              <w:spacing w:after="28" w:before="0"/>
              <w:jc w:val="left"/>
            </w:pPr>
            <w:r>
              <w:rPr>
                <w:rFonts w:ascii="Arial" w:cs="Arial" w:eastAsia="Arial" w:hAnsi="Arial"/>
                <w:b/>
                <w:bCs/>
                <w:color w:val="D97706"/>
                <w:sz w:val="17"/>
                <w:szCs w:val="17"/>
              </w:rPr>
              <w:t xml:space="preserve">🏥  Workforce Readiness &amp; Retention</w:t>
            </w:r>
          </w:p>
          <w:p>
            <w:pPr>
              <w:spacing w:after="20" w:before="0"/>
              <w:jc w:val="left"/>
            </w:pPr>
            <w:r>
              <w:rPr>
                <w:rFonts w:ascii="Arial" w:cs="Arial" w:eastAsia="Arial" w:hAnsi="Arial"/>
                <w:b w:val="false"/>
                <w:bCs w:val="false"/>
                <w:color w:val="111827"/>
                <w:sz w:val="16"/>
                <w:szCs w:val="16"/>
              </w:rPr>
              <w:t xml:space="preserve">The nursing shortage is not only a supply problem -- it is a retention problem. Nurses who feel underprepared for community complexity leave the profession faster. Equipping students with neighborhood intelligence before clinical rotations builds the competence and connection to place that sustains careers in community health.</w:t>
            </w:r>
          </w:p>
          <w:p>
            <w:pPr>
              <w:spacing w:after="14" w:before="0"/>
              <w:jc w:val="left"/>
            </w:pPr>
            <w:r>
              <w:rPr>
                <w:rFonts w:ascii="Arial" w:cs="Arial" w:eastAsia="Arial" w:hAnsi="Arial"/>
                <w:b/>
                <w:bCs/>
                <w:color w:val="D97706"/>
                <w:sz w:val="16"/>
                <w:szCs w:val="16"/>
              </w:rPr>
              <w:t xml:space="preserve">→ </w:t>
            </w:r>
            <w:r>
              <w:rPr>
                <w:rFonts w:ascii="Arial" w:cs="Arial" w:eastAsia="Arial" w:hAnsi="Arial"/>
                <w:b w:val="false"/>
                <w:bCs w:val="false"/>
                <w:color w:val="374151"/>
                <w:sz w:val="16"/>
                <w:szCs w:val="16"/>
              </w:rPr>
              <w:t xml:space="preserve">Directly addresses the workforce development mandate the college already carries</w:t>
            </w:r>
          </w:p>
          <w:p>
            <w:pPr>
              <w:spacing w:after="14" w:before="0"/>
              <w:jc w:val="left"/>
            </w:pPr>
            <w:r>
              <w:rPr>
                <w:rFonts w:ascii="Arial" w:cs="Arial" w:eastAsia="Arial" w:hAnsi="Arial"/>
                <w:b/>
                <w:bCs/>
                <w:color w:val="D97706"/>
                <w:sz w:val="16"/>
                <w:szCs w:val="16"/>
              </w:rPr>
              <w:t xml:space="preserve">→ </w:t>
            </w:r>
            <w:r>
              <w:rPr>
                <w:rFonts w:ascii="Arial" w:cs="Arial" w:eastAsia="Arial" w:hAnsi="Arial"/>
                <w:b w:val="false"/>
                <w:bCs w:val="false"/>
                <w:color w:val="374151"/>
                <w:sz w:val="16"/>
                <w:szCs w:val="16"/>
              </w:rPr>
              <w:t xml:space="preserve">Measurable through student self-efficacy assessments and post-graduation retention data</w:t>
            </w:r>
          </w:p>
        </w:tc>
        <w:tc>
          <w:tcPr>
            <w:tcW w:type="dxa" w:w="4560"/>
            <w:tcBorders>
              <w:top w:val="none" w:color="FFFFFF" w:sz="0"/>
              <w:left w:val="single" w:color="7C3AED" w:sz="16"/>
              <w:bottom w:val="none" w:color="FFFFFF" w:sz="0"/>
              <w:right w:val="none" w:color="FFFFFF" w:sz="0"/>
            </w:tcBorders>
            <w:shd w:fill="F5F3FF" w:val="clear"/>
            <w:tcMar>
              <w:top w:type="dxa" w:w="120"/>
              <w:left w:type="dxa" w:w="140"/>
              <w:bottom w:type="dxa" w:w="120"/>
              <w:right w:type="dxa" w:w="120"/>
            </w:tcMar>
            <w:vAlign w:val="top"/>
          </w:tcPr>
          <w:p>
            <w:pPr>
              <w:spacing w:after="28" w:before="0"/>
              <w:jc w:val="left"/>
            </w:pPr>
            <w:r>
              <w:rPr>
                <w:rFonts w:ascii="Arial" w:cs="Arial" w:eastAsia="Arial" w:hAnsi="Arial"/>
                <w:b/>
                <w:bCs/>
                <w:color w:val="7C3AED"/>
                <w:sz w:val="17"/>
                <w:szCs w:val="17"/>
              </w:rPr>
              <w:t xml:space="preserve">🔄  A Living Research Instrument</w:t>
            </w:r>
          </w:p>
          <w:p>
            <w:pPr>
              <w:spacing w:after="20" w:before="0"/>
              <w:jc w:val="left"/>
            </w:pPr>
            <w:r>
              <w:rPr>
                <w:rFonts w:ascii="Arial" w:cs="Arial" w:eastAsia="Arial" w:hAnsi="Arial"/>
                <w:b w:val="false"/>
                <w:bCs w:val="false"/>
                <w:color w:val="111827"/>
                <w:sz w:val="16"/>
                <w:szCs w:val="16"/>
              </w:rPr>
              <w:t xml:space="preserve">Over time, what students observe in the field -- patterns the data does not yet capture -- can enrich what the platform shows. The community data project becomes bidirectional: students use the platform to prepare, and their structured observations help sharpen it.</w:t>
            </w:r>
          </w:p>
          <w:p>
            <w:pPr>
              <w:spacing w:after="14" w:before="0"/>
              <w:jc w:val="left"/>
            </w:pPr>
            <w:r>
              <w:rPr>
                <w:rFonts w:ascii="Arial" w:cs="Arial" w:eastAsia="Arial" w:hAnsi="Arial"/>
                <w:b/>
                <w:bCs/>
                <w:color w:val="7C3AED"/>
                <w:sz w:val="16"/>
                <w:szCs w:val="16"/>
              </w:rPr>
              <w:t xml:space="preserve">→ </w:t>
            </w:r>
            <w:r>
              <w:rPr>
                <w:rFonts w:ascii="Arial" w:cs="Arial" w:eastAsia="Arial" w:hAnsi="Arial"/>
                <w:b w:val="false"/>
                <w:bCs w:val="false"/>
                <w:color w:val="374151"/>
                <w:sz w:val="16"/>
                <w:szCs w:val="16"/>
              </w:rPr>
              <w:t xml:space="preserve">Positions UC CON as a national model for university-community civic data partnerships</w:t>
            </w:r>
          </w:p>
          <w:p>
            <w:pPr>
              <w:spacing w:after="14" w:before="0"/>
              <w:jc w:val="left"/>
            </w:pPr>
            <w:r>
              <w:rPr>
                <w:rFonts w:ascii="Arial" w:cs="Arial" w:eastAsia="Arial" w:hAnsi="Arial"/>
                <w:b/>
                <w:bCs/>
                <w:color w:val="7C3AED"/>
                <w:sz w:val="16"/>
                <w:szCs w:val="16"/>
              </w:rPr>
              <w:t xml:space="preserve">→ </w:t>
            </w:r>
            <w:r>
              <w:rPr>
                <w:rFonts w:ascii="Arial" w:cs="Arial" w:eastAsia="Arial" w:hAnsi="Arial"/>
                <w:b w:val="false"/>
                <w:bCs w:val="false"/>
                <w:color w:val="374151"/>
                <w:sz w:val="16"/>
                <w:szCs w:val="16"/>
              </w:rPr>
              <w:t xml:space="preserve">Replicable methodology for health professional programs across Ohio and beyond</w:t>
            </w:r>
          </w:p>
        </w:tc>
      </w:tr>
    </w:tbl>
    <w:p>
      <w:pPr>
        <w:spacing w:after="0" w:before="100"/>
        <w:jc w:val="left"/>
      </w:pPr>
    </w:p>
    <w:p>
      <w:pPr>
        <w:spacing w:after="40" w:before="0"/>
        <w:jc w:val="left"/>
      </w:pPr>
      <w:r>
        <w:rPr>
          <w:rFonts w:ascii="Arial" w:cs="Arial" w:eastAsia="Arial" w:hAnsi="Arial"/>
          <w:b/>
          <w:bCs/>
          <w:color w:val="1B3A5C"/>
          <w:sz w:val="17"/>
          <w:szCs w:val="17"/>
        </w:rPr>
        <w:t xml:space="preserve">INVESTMENT TIERS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180"/>
        <w:gridCol w:w="3000"/>
        <w:gridCol w:w="180"/>
        <w:gridCol w:w="3000"/>
      </w:tblGrid>
      <w:tr>
        <w:tc>
          <w:tcPr>
            <w:tcW w:type="dxa" w:w="3000"/>
            <w:tcBorders>
              <w:top w:val="single" w:color="4B5563" w:sz="4"/>
              <w:left w:val="single" w:color="4B5563" w:sz="4"/>
              <w:bottom w:val="single" w:color="4B5563" w:sz="4"/>
              <w:right w:val="single" w:color="4B5563" w:sz="4"/>
            </w:tcBorders>
            <w:shd w:fill="374151" w:val="clear"/>
            <w:tcMar>
              <w:top w:type="dxa" w:w="120"/>
              <w:left w:type="dxa" w:w="140"/>
              <w:bottom w:type="dxa" w:w="120"/>
              <w:right w:type="dxa" w:w="140"/>
            </w:tcMar>
            <w:vAlign w:val="top"/>
          </w:tcPr>
          <w:p>
            <w:pPr>
              <w:spacing w:after="8" w:before="0"/>
              <w:jc w:val="left"/>
            </w:pPr>
            <w:r>
              <w:rPr>
                <w:rFonts w:ascii="Arial" w:cs="Arial" w:eastAsia="Arial" w:hAnsi="Arial"/>
                <w:b/>
                <w:bCs/>
                <w:color w:val="FFFFFF"/>
                <w:sz w:val="17"/>
                <w:szCs w:val="17"/>
              </w:rPr>
              <w:t xml:space="preserve">Tier 1 -- Operational</w:t>
            </w:r>
          </w:p>
          <w:p>
            <w:pPr>
              <w:spacing w:after="20" w:before="0"/>
              <w:jc w:val="left"/>
            </w:pPr>
            <w:r>
              <w:rPr>
                <w:rFonts w:ascii="Arial" w:cs="Arial" w:eastAsia="Arial" w:hAnsi="Arial"/>
                <w:b w:val="false"/>
                <w:bCs w:val="false"/>
                <w:color w:val="E2E8F0"/>
                <w:sz w:val="15"/>
                <w:szCs w:val="15"/>
              </w:rPr>
              <w:t xml:space="preserve">~$700-1,000 / year</w:t>
            </w:r>
          </w:p>
          <w:p>
            <w:pPr>
              <w:spacing w:after="12" w:before="0"/>
              <w:jc w:val="left"/>
            </w:pPr>
            <w:r>
              <w:rPr>
                <w:rFonts w:ascii="Arial" w:cs="Arial" w:eastAsia="Arial" w:hAnsi="Arial"/>
                <w:b/>
                <w:bCs/>
                <w:color w:val="A7F3D0"/>
                <w:sz w:val="16"/>
                <w:szCs w:val="16"/>
              </w:rPr>
              <w:t xml:space="preserve">✓ </w:t>
            </w:r>
            <w:r>
              <w:rPr>
                <w:rFonts w:ascii="Arial" w:cs="Arial" w:eastAsia="Arial" w:hAnsi="Arial"/>
                <w:b w:val="false"/>
                <w:bCs w:val="false"/>
                <w:color w:val="FFFFFF"/>
                <w:sz w:val="16"/>
                <w:szCs w:val="16"/>
              </w:rPr>
              <w:t xml:space="preserve">Custom domain + reliable hosting</w:t>
            </w:r>
          </w:p>
          <w:p>
            <w:pPr>
              <w:spacing w:after="12" w:before="0"/>
              <w:jc w:val="left"/>
            </w:pPr>
            <w:r>
              <w:rPr>
                <w:rFonts w:ascii="Arial" w:cs="Arial" w:eastAsia="Arial" w:hAnsi="Arial"/>
                <w:b/>
                <w:bCs/>
                <w:color w:val="A7F3D0"/>
                <w:sz w:val="16"/>
                <w:szCs w:val="16"/>
              </w:rPr>
              <w:t xml:space="preserve">✓ </w:t>
            </w:r>
            <w:r>
              <w:rPr>
                <w:rFonts w:ascii="Arial" w:cs="Arial" w:eastAsia="Arial" w:hAnsi="Arial"/>
                <w:b w:val="false"/>
                <w:bCs w:val="false"/>
                <w:color w:val="FFFFFF"/>
                <w:sz w:val="16"/>
                <w:szCs w:val="16"/>
              </w:rPr>
              <w:t xml:space="preserve">AI summary API credits</w:t>
            </w:r>
          </w:p>
          <w:p>
            <w:pPr>
              <w:spacing w:after="12" w:before="0"/>
              <w:jc w:val="left"/>
            </w:pPr>
            <w:r>
              <w:rPr>
                <w:rFonts w:ascii="Arial" w:cs="Arial" w:eastAsia="Arial" w:hAnsi="Arial"/>
                <w:b/>
                <w:bCs/>
                <w:color w:val="A7F3D0"/>
                <w:sz w:val="16"/>
                <w:szCs w:val="16"/>
              </w:rPr>
              <w:t xml:space="preserve">✓ </w:t>
            </w:r>
            <w:r>
              <w:rPr>
                <w:rFonts w:ascii="Arial" w:cs="Arial" w:eastAsia="Arial" w:hAnsi="Arial"/>
                <w:b w:val="false"/>
                <w:bCs w:val="false"/>
                <w:color w:val="FFFFFF"/>
                <w:sz w:val="16"/>
                <w:szCs w:val="16"/>
              </w:rPr>
              <w:t xml:space="preserve">Platform stable for course material citation</w:t>
            </w:r>
          </w:p>
          <w:p>
            <w:pPr>
              <w:spacing w:after="12" w:before="0"/>
              <w:jc w:val="left"/>
            </w:pPr>
            <w:r>
              <w:rPr>
                <w:rFonts w:ascii="Arial" w:cs="Arial" w:eastAsia="Arial" w:hAnsi="Arial"/>
                <w:b/>
                <w:bCs/>
                <w:color w:val="A7F3D0"/>
                <w:sz w:val="16"/>
                <w:szCs w:val="16"/>
              </w:rPr>
              <w:t xml:space="preserve">✓ </w:t>
            </w:r>
            <w:r>
              <w:rPr>
                <w:rFonts w:ascii="Arial" w:cs="Arial" w:eastAsia="Arial" w:hAnsi="Arial"/>
                <w:b w:val="false"/>
                <w:bCs w:val="false"/>
                <w:color w:val="FFFFFF"/>
                <w:sz w:val="16"/>
                <w:szCs w:val="16"/>
              </w:rPr>
              <w:t xml:space="preserve">No risk of going dark mid-semester</w:t>
            </w:r>
          </w:p>
        </w:tc>
        <w:tc>
          <w:tcPr>
            <w:tcW w:type="dxa" w:w="18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tc>
        <w:tc>
          <w:tcPr>
            <w:tcW w:type="dxa" w:w="3000"/>
            <w:tcBorders>
              <w:top w:val="single" w:color="0D6660" w:sz="4"/>
              <w:left w:val="single" w:color="0D6660" w:sz="4"/>
              <w:bottom w:val="single" w:color="0D6660" w:sz="4"/>
              <w:right w:val="single" w:color="0D6660" w:sz="4"/>
            </w:tcBorders>
            <w:shd w:fill="0F766E" w:val="clear"/>
            <w:tcMar>
              <w:top w:type="dxa" w:w="120"/>
              <w:left w:type="dxa" w:w="140"/>
              <w:bottom w:type="dxa" w:w="120"/>
              <w:right w:type="dxa" w:w="140"/>
            </w:tcMar>
            <w:vAlign w:val="top"/>
          </w:tcPr>
          <w:p>
            <w:pPr>
              <w:spacing w:after="8" w:before="0"/>
              <w:jc w:val="left"/>
            </w:pPr>
            <w:r>
              <w:rPr>
                <w:rFonts w:ascii="Arial" w:cs="Arial" w:eastAsia="Arial" w:hAnsi="Arial"/>
                <w:b/>
                <w:bCs/>
                <w:color w:val="FFFFFF"/>
                <w:sz w:val="17"/>
                <w:szCs w:val="17"/>
              </w:rPr>
              <w:t xml:space="preserve">Tier 2 -- Research Partnership</w:t>
            </w:r>
          </w:p>
          <w:p>
            <w:pPr>
              <w:spacing w:after="20" w:before="0"/>
              <w:jc w:val="left"/>
            </w:pPr>
            <w:r>
              <w:rPr>
                <w:rFonts w:ascii="Arial" w:cs="Arial" w:eastAsia="Arial" w:hAnsi="Arial"/>
                <w:b w:val="false"/>
                <w:bCs w:val="false"/>
                <w:color w:val="E2E8F0"/>
                <w:sz w:val="15"/>
                <w:szCs w:val="15"/>
              </w:rPr>
              <w:t xml:space="preserve">In-kind or ~$10-20k</w:t>
            </w:r>
          </w:p>
          <w:p>
            <w:pPr>
              <w:spacing w:after="12" w:before="0"/>
              <w:jc w:val="left"/>
            </w:pPr>
            <w:r>
              <w:rPr>
                <w:rFonts w:ascii="Arial" w:cs="Arial" w:eastAsia="Arial" w:hAnsi="Arial"/>
                <w:b/>
                <w:bCs/>
                <w:color w:val="A7F3D0"/>
                <w:sz w:val="16"/>
                <w:szCs w:val="16"/>
              </w:rPr>
              <w:t xml:space="preserve">✓ </w:t>
            </w:r>
            <w:r>
              <w:rPr>
                <w:rFonts w:ascii="Arial" w:cs="Arial" w:eastAsia="Arial" w:hAnsi="Arial"/>
                <w:b w:val="false"/>
                <w:bCs w:val="false"/>
                <w:color w:val="FFFFFF"/>
                <w:sz w:val="16"/>
                <w:szCs w:val="16"/>
              </w:rPr>
              <w:t xml:space="preserve">IRB-approved student user research</w:t>
            </w:r>
          </w:p>
          <w:p>
            <w:pPr>
              <w:spacing w:after="12" w:before="0"/>
              <w:jc w:val="left"/>
            </w:pPr>
            <w:r>
              <w:rPr>
                <w:rFonts w:ascii="Arial" w:cs="Arial" w:eastAsia="Arial" w:hAnsi="Arial"/>
                <w:b/>
                <w:bCs/>
                <w:color w:val="A7F3D0"/>
                <w:sz w:val="16"/>
                <w:szCs w:val="16"/>
              </w:rPr>
              <w:t xml:space="preserve">✓ </w:t>
            </w:r>
            <w:r>
              <w:rPr>
                <w:rFonts w:ascii="Arial" w:cs="Arial" w:eastAsia="Arial" w:hAnsi="Arial"/>
                <w:b w:val="false"/>
                <w:bCs w:val="false"/>
                <w:color w:val="FFFFFF"/>
                <w:sz w:val="16"/>
                <w:szCs w:val="16"/>
              </w:rPr>
              <w:t xml:space="preserve">Faculty as grant co-investigator</w:t>
            </w:r>
          </w:p>
          <w:p>
            <w:pPr>
              <w:spacing w:after="12" w:before="0"/>
              <w:jc w:val="left"/>
            </w:pPr>
            <w:r>
              <w:rPr>
                <w:rFonts w:ascii="Arial" w:cs="Arial" w:eastAsia="Arial" w:hAnsi="Arial"/>
                <w:b/>
                <w:bCs/>
                <w:color w:val="A7F3D0"/>
                <w:sz w:val="16"/>
                <w:szCs w:val="16"/>
              </w:rPr>
              <w:t xml:space="preserve">✓ </w:t>
            </w:r>
            <w:r>
              <w:rPr>
                <w:rFonts w:ascii="Arial" w:cs="Arial" w:eastAsia="Arial" w:hAnsi="Arial"/>
                <w:b w:val="false"/>
                <w:bCs w:val="false"/>
                <w:color w:val="FFFFFF"/>
                <w:sz w:val="16"/>
                <w:szCs w:val="16"/>
              </w:rPr>
              <w:t xml:space="preserve">Student worker hours (practicum credit)</w:t>
            </w:r>
          </w:p>
          <w:p>
            <w:pPr>
              <w:spacing w:after="12" w:before="0"/>
              <w:jc w:val="left"/>
            </w:pPr>
            <w:r>
              <w:rPr>
                <w:rFonts w:ascii="Arial" w:cs="Arial" w:eastAsia="Arial" w:hAnsi="Arial"/>
                <w:b/>
                <w:bCs/>
                <w:color w:val="A7F3D0"/>
                <w:sz w:val="16"/>
                <w:szCs w:val="16"/>
              </w:rPr>
              <w:t xml:space="preserve">✓ </w:t>
            </w:r>
            <w:r>
              <w:rPr>
                <w:rFonts w:ascii="Arial" w:cs="Arial" w:eastAsia="Arial" w:hAnsi="Arial"/>
                <w:b w:val="false"/>
                <w:bCs w:val="false"/>
                <w:color w:val="FFFFFF"/>
                <w:sz w:val="16"/>
                <w:szCs w:val="16"/>
              </w:rPr>
              <w:t xml:space="preserve">Publishable preparation outcomes study</w:t>
            </w:r>
          </w:p>
          <w:p>
            <w:pPr>
              <w:spacing w:after="12" w:before="0"/>
              <w:jc w:val="left"/>
            </w:pPr>
            <w:r>
              <w:rPr>
                <w:rFonts w:ascii="Arial" w:cs="Arial" w:eastAsia="Arial" w:hAnsi="Arial"/>
                <w:b/>
                <w:bCs/>
                <w:color w:val="A7F3D0"/>
                <w:sz w:val="16"/>
                <w:szCs w:val="16"/>
              </w:rPr>
              <w:t xml:space="preserve">✓ </w:t>
            </w:r>
            <w:r>
              <w:rPr>
                <w:rFonts w:ascii="Arial" w:cs="Arial" w:eastAsia="Arial" w:hAnsi="Arial"/>
                <w:b w:val="false"/>
                <w:bCs w:val="false"/>
                <w:color w:val="FFFFFF"/>
                <w:sz w:val="16"/>
                <w:szCs w:val="16"/>
              </w:rPr>
              <w:t xml:space="preserve">Competitive for HRSA / RWJF grants</w:t>
            </w:r>
          </w:p>
        </w:tc>
        <w:tc>
          <w:tcPr>
            <w:tcW w:type="dxa" w:w="18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tc>
        <w:tc>
          <w:tcPr>
            <w:tcW w:type="dxa" w:w="3000"/>
            <w:tcBorders>
              <w:top w:val="single" w:color="152D4A" w:sz="4"/>
              <w:left w:val="single" w:color="152D4A" w:sz="4"/>
              <w:bottom w:val="single" w:color="152D4A" w:sz="4"/>
              <w:right w:val="single" w:color="152D4A" w:sz="4"/>
            </w:tcBorders>
            <w:shd w:fill="1B3A5C" w:val="clear"/>
            <w:tcMar>
              <w:top w:type="dxa" w:w="120"/>
              <w:left w:type="dxa" w:w="140"/>
              <w:bottom w:type="dxa" w:w="120"/>
              <w:right w:type="dxa" w:w="140"/>
            </w:tcMar>
            <w:vAlign w:val="top"/>
          </w:tcPr>
          <w:p>
            <w:pPr>
              <w:spacing w:after="8" w:before="0"/>
              <w:jc w:val="left"/>
            </w:pPr>
            <w:r>
              <w:rPr>
                <w:rFonts w:ascii="Arial" w:cs="Arial" w:eastAsia="Arial" w:hAnsi="Arial"/>
                <w:b/>
                <w:bCs/>
                <w:color w:val="FFFFFF"/>
                <w:sz w:val="17"/>
                <w:szCs w:val="17"/>
              </w:rPr>
              <w:t xml:space="preserve">Tier 3 -- Research Informatics Staff Position</w:t>
            </w:r>
          </w:p>
          <w:p>
            <w:pPr>
              <w:spacing w:after="20" w:before="0"/>
              <w:jc w:val="left"/>
            </w:pPr>
            <w:r>
              <w:rPr>
                <w:rFonts w:ascii="Arial" w:cs="Arial" w:eastAsia="Arial" w:hAnsi="Arial"/>
                <w:b w:val="false"/>
                <w:bCs w:val="false"/>
                <w:color w:val="E2E8F0"/>
                <w:sz w:val="15"/>
                <w:szCs w:val="15"/>
              </w:rPr>
              <w:t xml:space="preserve">~$100-120k / year (market-rate senior staff classification)</w:t>
            </w:r>
          </w:p>
          <w:p>
            <w:pPr>
              <w:spacing w:after="12" w:before="0"/>
              <w:jc w:val="left"/>
            </w:pPr>
            <w:r>
              <w:rPr>
                <w:rFonts w:ascii="Arial" w:cs="Arial" w:eastAsia="Arial" w:hAnsi="Arial"/>
                <w:b/>
                <w:bCs/>
                <w:color w:val="A7F3D0"/>
                <w:sz w:val="16"/>
                <w:szCs w:val="16"/>
              </w:rPr>
              <w:t xml:space="preserve">✓ </w:t>
            </w:r>
            <w:r>
              <w:rPr>
                <w:rFonts w:ascii="Arial" w:cs="Arial" w:eastAsia="Arial" w:hAnsi="Arial"/>
                <w:b w:val="false"/>
                <w:bCs w:val="false"/>
                <w:color w:val="FFFFFF"/>
                <w:sz w:val="16"/>
                <w:szCs w:val="16"/>
              </w:rPr>
              <w:t xml:space="preserve">Full-time platform development</w:t>
            </w:r>
          </w:p>
          <w:p>
            <w:pPr>
              <w:spacing w:after="12" w:before="0"/>
              <w:jc w:val="left"/>
            </w:pPr>
            <w:r>
              <w:rPr>
                <w:rFonts w:ascii="Arial" w:cs="Arial" w:eastAsia="Arial" w:hAnsi="Arial"/>
                <w:b/>
                <w:bCs/>
                <w:color w:val="A7F3D0"/>
                <w:sz w:val="16"/>
                <w:szCs w:val="16"/>
              </w:rPr>
              <w:t xml:space="preserve">✓ </w:t>
            </w:r>
            <w:r>
              <w:rPr>
                <w:rFonts w:ascii="Arial" w:cs="Arial" w:eastAsia="Arial" w:hAnsi="Arial"/>
                <w:b w:val="false"/>
                <w:bCs w:val="false"/>
                <w:color w:val="FFFFFF"/>
                <w:sz w:val="16"/>
                <w:szCs w:val="16"/>
              </w:rPr>
              <w:t xml:space="preserve">User research at scale with students, CHWs, residents</w:t>
            </w:r>
          </w:p>
          <w:p>
            <w:pPr>
              <w:spacing w:after="12" w:before="0"/>
              <w:jc w:val="left"/>
            </w:pPr>
            <w:r>
              <w:rPr>
                <w:rFonts w:ascii="Arial" w:cs="Arial" w:eastAsia="Arial" w:hAnsi="Arial"/>
                <w:b/>
                <w:bCs/>
                <w:color w:val="A7F3D0"/>
                <w:sz w:val="16"/>
                <w:szCs w:val="16"/>
              </w:rPr>
              <w:t xml:space="preserve">✓ </w:t>
            </w:r>
            <w:r>
              <w:rPr>
                <w:rFonts w:ascii="Arial" w:cs="Arial" w:eastAsia="Arial" w:hAnsi="Arial"/>
                <w:b w:val="false"/>
                <w:bCs w:val="false"/>
                <w:color w:val="FFFFFF"/>
                <w:sz w:val="16"/>
                <w:szCs w:val="16"/>
              </w:rPr>
              <w:t xml:space="preserve">City council and civic org engagement</w:t>
            </w:r>
          </w:p>
          <w:p>
            <w:pPr>
              <w:spacing w:after="12" w:before="0"/>
              <w:jc w:val="left"/>
            </w:pPr>
            <w:r>
              <w:rPr>
                <w:rFonts w:ascii="Arial" w:cs="Arial" w:eastAsia="Arial" w:hAnsi="Arial"/>
                <w:b/>
                <w:bCs/>
                <w:color w:val="A7F3D0"/>
                <w:sz w:val="16"/>
                <w:szCs w:val="16"/>
              </w:rPr>
              <w:t xml:space="preserve">✓ </w:t>
            </w:r>
            <w:r>
              <w:rPr>
                <w:rFonts w:ascii="Arial" w:cs="Arial" w:eastAsia="Arial" w:hAnsi="Arial"/>
                <w:b w:val="false"/>
                <w:bCs w:val="false"/>
                <w:color w:val="FFFFFF"/>
                <w:sz w:val="16"/>
                <w:szCs w:val="16"/>
              </w:rPr>
              <w:t xml:space="preserve">Platform expansion across Hamilton County</w:t>
            </w:r>
          </w:p>
          <w:p>
            <w:pPr>
              <w:spacing w:after="12" w:before="0"/>
              <w:jc w:val="left"/>
            </w:pPr>
            <w:r>
              <w:rPr>
                <w:rFonts w:ascii="Arial" w:cs="Arial" w:eastAsia="Arial" w:hAnsi="Arial"/>
                <w:b/>
                <w:bCs/>
                <w:color w:val="A7F3D0"/>
                <w:sz w:val="16"/>
                <w:szCs w:val="16"/>
              </w:rPr>
              <w:t xml:space="preserve">✓ </w:t>
            </w:r>
            <w:r>
              <w:rPr>
                <w:rFonts w:ascii="Arial" w:cs="Arial" w:eastAsia="Arial" w:hAnsi="Arial"/>
                <w:b w:val="false"/>
                <w:bCs w:val="false"/>
                <w:color w:val="FFFFFF"/>
                <w:sz w:val="16"/>
                <w:szCs w:val="16"/>
              </w:rPr>
              <w:t xml:space="preserve">Replicable Ohio-wide model</w:t>
            </w:r>
          </w:p>
          <w:p>
            <w:pPr>
              <w:spacing w:after="0" w:before="16"/>
              <w:jc w:val="left"/>
            </w:pPr>
            <w:r>
              <w:rPr>
                <w:rFonts w:ascii="Arial" w:cs="Arial" w:eastAsia="Arial" w:hAnsi="Arial"/>
                <w:b w:val="false"/>
                <w:bCs w:val="false"/>
                <w:color w:val="FCD34D"/>
                <w:sz w:val="15"/>
                <w:szCs w:val="15"/>
              </w:rPr>
              <w:t xml:space="preserve">Eligible as subcontract on federal health workforce grants</w:t>
            </w:r>
          </w:p>
        </w:tc>
      </w:tr>
    </w:tbl>
    <w:p>
      <w:pPr>
        <w:spacing w:after="0" w:before="100"/>
        <w:jc w:val="left"/>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400"/>
        <w:gridCol w:w="3960"/>
      </w:tblGrid>
      <w:tr>
        <w:tc>
          <w:tcPr>
            <w:tcW w:type="dxa" w:w="5400"/>
            <w:tcBorders>
              <w:top w:val="none" w:color="FFFFFF" w:sz="0"/>
              <w:left w:val="none" w:color="FFFFFF" w:sz="0"/>
              <w:bottom w:val="none" w:color="FFFFFF" w:sz="0"/>
              <w:right w:val="none" w:color="FFFFFF" w:sz="0"/>
            </w:tcBorders>
            <w:shd w:fill="FFFFFF" w:val="clear"/>
            <w:tcMar>
              <w:top w:type="dxa" w:w="0"/>
              <w:left w:type="dxa" w:w="0"/>
              <w:bottom w:type="dxa" w:w="0"/>
              <w:right w:type="dxa" w:w="200"/>
            </w:tcMar>
            <w:vAlign w:val="top"/>
          </w:tcPr>
          <w:p>
            <w:pPr>
              <w:spacing w:after="20" w:before="0"/>
              <w:jc w:val="left"/>
            </w:pPr>
            <w:r>
              <w:rPr>
                <w:rFonts w:ascii="Arial" w:cs="Arial" w:eastAsia="Arial" w:hAnsi="Arial"/>
                <w:b/>
                <w:bCs/>
                <w:color w:val="1B3A5C"/>
                <w:sz w:val="16"/>
                <w:szCs w:val="16"/>
              </w:rPr>
              <w:t xml:space="preserve">About the platform</w:t>
            </w:r>
          </w:p>
          <w:p>
            <w:pPr>
              <w:spacing w:after="0" w:before="0"/>
              <w:jc w:val="left"/>
            </w:pPr>
            <w:r>
              <w:rPr>
                <w:rFonts w:ascii="Arial" w:cs="Arial" w:eastAsia="Arial" w:hAnsi="Arial"/>
                <w:b w:val="false"/>
                <w:bCs w:val="false"/>
                <w:color w:val="111827"/>
                <w:sz w:val="16"/>
                <w:szCs w:val="16"/>
              </w:rPr>
              <w:t xml:space="preserve">Cincinnati Civic Data is an independent, open-source public interest project built by a Cincinnati resident. It has no commercial intent -- the civic data will always be free and public. The platform is live at cincinnati-civic-data.vercel.app and actively maintained.</w:t>
            </w:r>
          </w:p>
        </w:tc>
        <w:tc>
          <w:tcPr>
            <w:tcW w:type="dxa" w:w="396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pPr>
              <w:spacing w:after="20" w:before="0"/>
              <w:jc w:val="left"/>
            </w:pPr>
            <w:r>
              <w:rPr>
                <w:rFonts w:ascii="Arial" w:cs="Arial" w:eastAsia="Arial" w:hAnsi="Arial"/>
                <w:b/>
                <w:bCs/>
                <w:color w:val="1B3A5C"/>
                <w:sz w:val="16"/>
                <w:szCs w:val="16"/>
              </w:rPr>
              <w:t xml:space="preserve">Get in touch</w:t>
            </w:r>
          </w:p>
          <w:p>
            <w:pPr>
              <w:spacing w:after="8" w:before="0"/>
              <w:jc w:val="left"/>
            </w:pPr>
            <w:r>
              <w:rPr>
                <w:rFonts w:ascii="Arial" w:cs="Arial" w:eastAsia="Arial" w:hAnsi="Arial"/>
                <w:b/>
                <w:bCs/>
                <w:color w:val="111827"/>
                <w:sz w:val="16"/>
                <w:szCs w:val="16"/>
              </w:rPr>
              <w:t xml:space="preserve">Christian</w:t>
            </w:r>
          </w:p>
          <w:p>
            <w:pPr>
              <w:spacing w:after="8" w:before="0"/>
              <w:jc w:val="left"/>
            </w:pPr>
            <w:r>
              <w:rPr>
                <w:rFonts w:ascii="Arial" w:cs="Arial" w:eastAsia="Arial" w:hAnsi="Arial"/>
                <w:b w:val="false"/>
                <w:bCs w:val="false"/>
                <w:color w:val="0F766E"/>
                <w:sz w:val="16"/>
                <w:szCs w:val="16"/>
              </w:rPr>
              <w:t xml:space="preserve">chanfriendly@gmail.com</w:t>
            </w:r>
          </w:p>
          <w:p>
            <w:pPr>
              <w:spacing w:after="0" w:before="0"/>
              <w:jc w:val="left"/>
            </w:pPr>
            <w:r>
              <w:rPr>
                <w:rFonts w:ascii="Arial" w:cs="Arial" w:eastAsia="Arial" w:hAnsi="Arial"/>
                <w:b w:val="false"/>
                <w:bCs w:val="false"/>
                <w:color w:val="6B7280"/>
                <w:sz w:val="15"/>
                <w:szCs w:val="15"/>
              </w:rPr>
              <w:t xml:space="preserve">cincinnati-civic-data.vercel.app</w:t>
            </w:r>
          </w:p>
        </w:tc>
      </w:tr>
    </w:tbl>
    <w:p>
      <w:pPr>
        <w:spacing w:after="0" w:before="60"/>
        <w:jc w:val="left"/>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1D5DB" w:sz="4"/>
              <w:left w:val="none" w:color="FFFFFF" w:sz="0"/>
              <w:bottom w:val="none" w:color="FFFFFF" w:sz="0"/>
              <w:right w:val="none" w:color="FFFFFF" w:sz="0"/>
            </w:tcBorders>
            <w:shd w:fill="FFFFFF" w:val="clear"/>
            <w:tcMar>
              <w:top w:type="dxa" w:w="80"/>
              <w:left w:type="dxa" w:w="0"/>
              <w:bottom w:type="dxa" w:w="0"/>
              <w:right w:type="dxa" w:w="0"/>
            </w:tcMar>
            <w:vAlign w:val="top"/>
          </w:tcPr>
          <w:p>
            <w:pPr>
              <w:spacing w:after="0" w:before="0"/>
              <w:jc w:val="left"/>
            </w:pPr>
            <w:r>
              <w:rPr>
                <w:rFonts w:ascii="Arial" w:cs="Arial" w:eastAsia="Arial" w:hAnsi="Arial"/>
                <w:b w:val="false"/>
                <w:bCs w:val="false"/>
                <w:color w:val="9CA3AF"/>
                <w:sz w:val="14"/>
                <w:szCs w:val="14"/>
              </w:rPr>
              <w:t xml:space="preserve">All data on the platform is sourced from public records and federal datasets. Funding at any tier does not grant editorial control over the platform's data, methodology, or public-facing content.</w:t>
            </w:r>
          </w:p>
        </w:tc>
      </w:tr>
    </w:tbl>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2026-04-19T14:46:35.694Z</dcterms:created>
  <dcterms:modified xsi:type="dcterms:W3CDTF">2026-04-19T14:46:35.694Z</dcterms:modified>
</cp:coreProperties>
</file>

<file path=docProps/custom.xml><?xml version="1.0" encoding="utf-8"?>
<Properties xmlns="http://schemas.openxmlformats.org/officeDocument/2006/custom-properties" xmlns:vt="http://schemas.openxmlformats.org/officeDocument/2006/docPropsVTypes"/>
</file>