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60"/>
        <w:tblBorders>
          <w:top w:val="none" w:color="FFFFFF" w:sz="0"/>
          <w:left w:val="none" w:color="FFFFFF" w:sz="0"/>
          <w:bottom w:val="none" w:color="FFFFFF" w:sz="0"/>
          <w:right w:val="none" w:color="FFFFFF" w:sz="0"/>
          <w:insideH w:val="single" w:color="auto" w:sz="4"/>
          <w:insideV w:val="single" w:color="auto" w:sz="4"/>
        </w:tblBorders>
      </w:tblPr>
      <w:tblGrid>
        <w:gridCol w:w="7200"/>
        <w:gridCol w:w="2760"/>
      </w:tblGrid>
      <w:tr>
        <w:tc>
          <w:tcPr>
            <w:tcW w:type="dxa" w:w="7200"/>
            <w:tcBorders>
              <w:top w:val="none" w:color="FFFFFF" w:sz="0"/>
              <w:left w:val="none" w:color="FFFFFF" w:sz="0"/>
              <w:bottom w:val="none" w:color="FFFFFF" w:sz="0"/>
              <w:right w:val="none" w:color="FFFFFF" w:sz="0"/>
            </w:tcBorders>
            <w:shd w:fill="1B3A5C" w:val="clear"/>
            <w:tcMar>
              <w:top w:type="dxa" w:w="160"/>
              <w:left w:type="dxa" w:w="200"/>
              <w:bottom w:type="dxa" w:w="160"/>
              <w:right w:type="dxa" w:w="200"/>
            </w:tcMar>
            <w:vAlign w:val="top"/>
          </w:tcPr>
          <w:p>
            <w:pPr>
              <w:spacing w:after="40" w:before="0"/>
              <w:jc w:val="left"/>
            </w:pPr>
            <w:r>
              <w:rPr>
                <w:rFonts w:ascii="Arial" w:cs="Arial" w:eastAsia="Arial" w:hAnsi="Arial"/>
                <w:b/>
                <w:bCs/>
                <w:color w:val="FFFFFF"/>
                <w:sz w:val="40"/>
                <w:szCs w:val="40"/>
              </w:rPr>
              <w:t xml:space="preserve">Cincinnati</w:t>
            </w:r>
            <w:r>
              <w:rPr>
                <w:rFonts w:ascii="Arial" w:cs="Arial" w:eastAsia="Arial" w:hAnsi="Arial"/>
                <w:b w:val="false"/>
                <w:bCs w:val="false"/>
                <w:color w:val="D1D5DB"/>
                <w:sz w:val="40"/>
                <w:szCs w:val="40"/>
              </w:rPr>
              <w:t xml:space="preserve">  Civic Data Platform</w:t>
            </w:r>
          </w:p>
          <w:p>
            <w:pPr>
              <w:spacing w:after="0" w:before="0"/>
              <w:jc w:val="left"/>
            </w:pPr>
            <w:r>
              <w:rPr>
                <w:rFonts w:ascii="Arial" w:cs="Arial" w:eastAsia="Arial" w:hAnsi="Arial"/>
                <w:b w:val="false"/>
                <w:bCs w:val="false"/>
                <w:color w:val="D1D5DB"/>
                <w:sz w:val="18"/>
                <w:szCs w:val="18"/>
              </w:rPr>
              <w:t xml:space="preserve">Public records for residents, advocates, educators, and journalists</w:t>
            </w:r>
          </w:p>
        </w:tc>
        <w:tc>
          <w:tcPr>
            <w:tcW w:type="dxa" w:w="2760"/>
            <w:tcBorders>
              <w:top w:val="none" w:color="FFFFFF" w:sz="0"/>
              <w:left w:val="none" w:color="FFFFFF" w:sz="0"/>
              <w:bottom w:val="none" w:color="FFFFFF" w:sz="0"/>
              <w:right w:val="none" w:color="FFFFFF" w:sz="0"/>
            </w:tcBorders>
            <w:shd w:fill="1B3A5C" w:val="clear"/>
            <w:tcMar>
              <w:top w:type="dxa" w:w="160"/>
              <w:left w:type="dxa" w:w="80"/>
              <w:bottom w:type="dxa" w:w="160"/>
              <w:right w:type="dxa" w:w="200"/>
            </w:tcMar>
            <w:vAlign w:val="center"/>
          </w:tcPr>
          <w:p>
            <w:pPr>
              <w:spacing w:after="40" w:before="0"/>
              <w:jc w:val="right"/>
            </w:pPr>
            <w:r>
              <w:rPr>
                <w:rFonts w:ascii="Arial" w:cs="Arial" w:eastAsia="Arial" w:hAnsi="Arial"/>
                <w:b/>
                <w:bCs/>
                <w:color w:val="D97706"/>
                <w:sz w:val="18"/>
                <w:szCs w:val="18"/>
              </w:rPr>
              <w:t xml:space="preserve">cincinnati-civic-data.vercel.app</w:t>
            </w:r>
          </w:p>
          <w:p>
            <w:pPr>
              <w:spacing w:after="0" w:before="0"/>
              <w:jc w:val="right"/>
            </w:pPr>
            <w:r>
              <w:rPr>
                <w:rFonts w:ascii="Arial" w:cs="Arial" w:eastAsia="Arial" w:hAnsi="Arial"/>
                <w:b w:val="false"/>
                <w:bCs w:val="false"/>
                <w:color w:val="D1D5DB"/>
                <w:sz w:val="16"/>
                <w:szCs w:val="16"/>
              </w:rPr>
              <w:t xml:space="preserve">Free • Public • Open source</w:t>
            </w:r>
          </w:p>
        </w:tc>
      </w:tr>
    </w:tbl>
    <w:p>
      <w:pPr>
        <w:spacing w:after="0" w:before="120"/>
        <w:jc w:val="left"/>
      </w:pPr>
    </w:p>
    <w:tbl>
      <w:tblPr>
        <w:tblW w:type="dxa" w:w="9960"/>
        <w:tblBorders>
          <w:top w:val="none" w:color="FFFFFF" w:sz="0"/>
          <w:left w:val="none" w:color="FFFFFF" w:sz="0"/>
          <w:bottom w:val="none" w:color="FFFFFF" w:sz="0"/>
          <w:right w:val="none" w:color="FFFFFF" w:sz="0"/>
          <w:insideH w:val="single" w:color="auto" w:sz="4"/>
          <w:insideV w:val="single" w:color="auto" w:sz="4"/>
        </w:tblBorders>
      </w:tblPr>
      <w:tblGrid>
        <w:gridCol w:w="9960"/>
      </w:tblGrid>
      <w:tr>
        <w:tc>
          <w:tcPr>
            <w:tcW w:type="dxa" w:w="9960"/>
            <w:tcBorders>
              <w:top w:val="single" w:color="B8C5D6" w:sz="1"/>
              <w:left w:val="single" w:color="B8C5D6" w:sz="1"/>
              <w:bottom w:val="single" w:color="B8C5D6" w:sz="1"/>
              <w:right w:val="single" w:color="B8C5D6" w:sz="1"/>
            </w:tcBorders>
            <w:shd w:fill="EEF1F6" w:val="clear"/>
            <w:tcMar>
              <w:top w:type="dxa" w:w="120"/>
              <w:left w:type="dxa" w:w="180"/>
              <w:bottom w:type="dxa" w:w="120"/>
              <w:right w:type="dxa" w:w="180"/>
            </w:tcMar>
            <w:vAlign w:val="top"/>
          </w:tcPr>
          <w:p>
            <w:pPr>
              <w:spacing w:after="0" w:before="0"/>
              <w:jc w:val="left"/>
            </w:pPr>
            <w:r>
              <w:rPr>
                <w:rFonts w:ascii="Arial" w:cs="Arial" w:eastAsia="Arial" w:hAnsi="Arial"/>
                <w:b w:val="false"/>
                <w:bCs w:val="false"/>
                <w:color w:val="111827"/>
                <w:sz w:val="18"/>
                <w:szCs w:val="18"/>
              </w:rPr>
              <w:t xml:space="preserve">Cincinnati is one of the most geographically segregated cities in America — divided not just by race and income, but by the hills and highways that make it easy to live an entire life without knowing your neighbor. The Cincinnati Civic Data Platform exists to make that harder. We aggregate public data — lead exposure, housing instability, environmental risk, crime patterns, transit access — and distill it into tools that answer a practical question: </w:t>
            </w:r>
            <w:r>
              <w:rPr>
                <w:rFonts w:ascii="Arial" w:cs="Arial" w:eastAsia="Arial" w:hAnsi="Arial"/>
                <w:b/>
                <w:bCs/>
                <w:color w:val="1B3A5C"/>
                <w:sz w:val="18"/>
                <w:szCs w:val="18"/>
              </w:rPr>
              <w:t xml:space="preserve">what is actually happening in this neighborhood, and who is already working on it?</w:t>
            </w:r>
            <w:r>
              <w:rPr>
                <w:rFonts w:ascii="Arial" w:cs="Arial" w:eastAsia="Arial" w:hAnsi="Arial"/>
                <w:b w:val="false"/>
                <w:bCs w:val="false"/>
                <w:color w:val="111827"/>
                <w:sz w:val="18"/>
                <w:szCs w:val="18"/>
              </w:rPr>
              <w:t xml:space="preserve"> For nurses, educators, and advocates, that means closing a context gap: understanding the structural forces shaping someone’s health before they walk through the door. We build at the system level — not to profile individuals, but to make indifference less comfortable.</w:t>
            </w:r>
          </w:p>
        </w:tc>
      </w:tr>
    </w:tbl>
    <w:p>
      <w:pPr>
        <w:spacing w:after="0" w:before="120"/>
        <w:jc w:val="left"/>
      </w:pPr>
    </w:p>
    <w:p>
      <w:pPr>
        <w:spacing w:after="40" w:before="120"/>
        <w:jc w:val="left"/>
      </w:pPr>
      <w:r>
        <w:rPr>
          <w:rFonts w:ascii="Arial" w:cs="Arial" w:eastAsia="Arial" w:hAnsi="Arial"/>
          <w:b/>
          <w:bCs/>
          <w:color w:val="1B3A5C"/>
          <w:sz w:val="16"/>
          <w:szCs w:val="16"/>
        </w:rPr>
        <w:t xml:space="preserve">WHAT YOU’LL FIND FOR ANY CINCINNATI ADDRESS</w:t>
      </w:r>
    </w:p>
    <w:tbl>
      <w:tblPr>
        <w:tblW w:type="dxa" w:w="9960"/>
        <w:tblBorders>
          <w:top w:val="none" w:color="FFFFFF" w:sz="0"/>
          <w:left w:val="none" w:color="FFFFFF" w:sz="0"/>
          <w:bottom w:val="none" w:color="FFFFFF" w:sz="0"/>
          <w:right w:val="none" w:color="FFFFFF" w:sz="0"/>
          <w:insideH w:val="single" w:color="auto" w:sz="4"/>
          <w:insideV w:val="single" w:color="auto" w:sz="4"/>
        </w:tblBorders>
      </w:tblPr>
      <w:tblGrid>
        <w:gridCol w:w="3200"/>
        <w:gridCol w:w="3200"/>
        <w:gridCol w:w="3560"/>
      </w:tblGrid>
      <w:tr>
        <w:tc>
          <w:tcPr>
            <w:tcW w:type="dxa" w:w="3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30" w:before="0"/>
              <w:jc w:val="left"/>
            </w:pPr>
            <w:r>
              <w:rPr>
                <w:rFonts w:ascii="Arial" w:cs="Arial" w:eastAsia="Arial" w:hAnsi="Arial"/>
                <w:b w:val="false"/>
                <w:bCs w:val="false"/>
                <w:color w:val="111827"/>
                <w:sz w:val="18"/>
                <w:szCs w:val="18"/>
              </w:rPr>
              <w:t xml:space="preserve">🏘  Zoning &amp; property record</w:t>
            </w:r>
          </w:p>
          <w:p>
            <w:pPr>
              <w:spacing w:after="30" w:before="0"/>
              <w:jc w:val="left"/>
            </w:pPr>
            <w:r>
              <w:rPr>
                <w:rFonts w:ascii="Arial" w:cs="Arial" w:eastAsia="Arial" w:hAnsi="Arial"/>
                <w:b w:val="false"/>
                <w:bCs w:val="false"/>
                <w:color w:val="111827"/>
                <w:sz w:val="18"/>
                <w:szCs w:val="18"/>
              </w:rPr>
              <w:t xml:space="preserve">🚨  Crime incidents (past 12 months)</w:t>
            </w:r>
          </w:p>
          <w:p>
            <w:pPr>
              <w:spacing w:after="0" w:before="0"/>
              <w:jc w:val="left"/>
            </w:pPr>
            <w:r>
              <w:rPr>
                <w:rFonts w:ascii="Arial" w:cs="Arial" w:eastAsia="Arial" w:hAnsi="Arial"/>
                <w:b w:val="false"/>
                <w:bCs w:val="false"/>
                <w:color w:val="111827"/>
                <w:sz w:val="18"/>
                <w:szCs w:val="18"/>
              </w:rPr>
              <w:t xml:space="preserve">💧  Lead service line risk level</w:t>
            </w:r>
          </w:p>
        </w:tc>
        <w:tc>
          <w:tcPr>
            <w:tcW w:type="dxa" w:w="3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30" w:before="0"/>
              <w:jc w:val="left"/>
            </w:pPr>
            <w:r>
              <w:rPr>
                <w:rFonts w:ascii="Arial" w:cs="Arial" w:eastAsia="Arial" w:hAnsi="Arial"/>
                <w:b w:val="false"/>
                <w:bCs w:val="false"/>
                <w:color w:val="111827"/>
                <w:sz w:val="18"/>
                <w:szCs w:val="18"/>
              </w:rPr>
              <w:t xml:space="preserve">🌊  FEMA flood zone status</w:t>
            </w:r>
          </w:p>
          <w:p>
            <w:pPr>
              <w:spacing w:after="30" w:before="0"/>
              <w:jc w:val="left"/>
            </w:pPr>
            <w:r>
              <w:rPr>
                <w:rFonts w:ascii="Arial" w:cs="Arial" w:eastAsia="Arial" w:hAnsi="Arial"/>
                <w:b w:val="false"/>
                <w:bCs w:val="false"/>
                <w:color w:val="111827"/>
                <w:sz w:val="18"/>
                <w:szCs w:val="18"/>
              </w:rPr>
              <w:t xml:space="preserve">🚌  Nearby bus stops (SORTA)</w:t>
            </w:r>
          </w:p>
          <w:p>
            <w:pPr>
              <w:spacing w:after="0" w:before="0"/>
              <w:jc w:val="left"/>
            </w:pPr>
            <w:r>
              <w:rPr>
                <w:rFonts w:ascii="Arial" w:cs="Arial" w:eastAsia="Arial" w:hAnsi="Arial"/>
                <w:b w:val="false"/>
                <w:bCs w:val="false"/>
                <w:color w:val="111827"/>
                <w:sz w:val="18"/>
                <w:szCs w:val="18"/>
              </w:rPr>
              <w:t xml:space="preserve">🏫  Nearby schools (within 1 mi)</w:t>
            </w:r>
          </w:p>
        </w:tc>
        <w:tc>
          <w:tcPr>
            <w:tcW w:type="dxa" w:w="356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30" w:before="0"/>
              <w:jc w:val="left"/>
            </w:pPr>
            <w:r>
              <w:rPr>
                <w:rFonts w:ascii="Arial" w:cs="Arial" w:eastAsia="Arial" w:hAnsi="Arial"/>
                <w:b w:val="false"/>
                <w:bCs w:val="false"/>
                <w:color w:val="111827"/>
                <w:sz w:val="18"/>
                <w:szCs w:val="18"/>
              </w:rPr>
              <w:t xml:space="preserve">🔧  311 service &amp; inspection history</w:t>
            </w:r>
          </w:p>
          <w:p>
            <w:pPr>
              <w:spacing w:after="30" w:before="0"/>
              <w:jc w:val="left"/>
            </w:pPr>
            <w:r>
              <w:rPr>
                <w:rFonts w:ascii="Arial" w:cs="Arial" w:eastAsia="Arial" w:hAnsi="Arial"/>
                <w:b w:val="false"/>
                <w:bCs w:val="false"/>
                <w:color w:val="111827"/>
                <w:sz w:val="18"/>
                <w:szCs w:val="18"/>
              </w:rPr>
              <w:t xml:space="preserve">🌳  Parks within 3/4 mile</w:t>
            </w:r>
          </w:p>
          <w:p>
            <w:pPr>
              <w:spacing w:after="30" w:before="0"/>
              <w:jc w:val="left"/>
            </w:pPr>
            <w:r>
              <w:rPr>
                <w:rFonts w:ascii="Arial" w:cs="Arial" w:eastAsia="Arial" w:hAnsi="Arial"/>
                <w:b w:val="false"/>
                <w:bCs w:val="false"/>
                <w:color w:val="111827"/>
                <w:sz w:val="18"/>
                <w:szCs w:val="18"/>
              </w:rPr>
              <w:t xml:space="preserve">🏛  Your City Council members</w:t>
            </w:r>
          </w:p>
          <w:p>
            <w:pPr>
              <w:spacing w:after="0" w:before="0"/>
              <w:jc w:val="left"/>
            </w:pPr>
            <w:r>
              <w:rPr>
                <w:rFonts w:ascii="Arial" w:cs="Arial" w:eastAsia="Arial" w:hAnsi="Arial"/>
                <w:b w:val="false"/>
                <w:bCs w:val="false"/>
                <w:color w:val="111827"/>
                <w:sz w:val="18"/>
                <w:szCs w:val="18"/>
              </w:rPr>
              <w:t xml:space="preserve">📋  Local civic meetings open for public comment</w:t>
            </w:r>
          </w:p>
        </w:tc>
      </w:tr>
    </w:tbl>
    <w:p>
      <w:pPr>
        <w:spacing w:after="0" w:before="120"/>
        <w:jc w:val="left"/>
      </w:pPr>
    </w:p>
    <w:p>
      <w:pPr>
        <w:spacing w:after="40" w:before="120"/>
        <w:jc w:val="left"/>
      </w:pPr>
      <w:r>
        <w:rPr>
          <w:rFonts w:ascii="Arial" w:cs="Arial" w:eastAsia="Arial" w:hAnsi="Arial"/>
          <w:b/>
          <w:bCs/>
          <w:color w:val="1B3A5C"/>
          <w:sz w:val="16"/>
          <w:szCs w:val="16"/>
        </w:rPr>
        <w:t xml:space="preserve">USE CASES FOR NURSING EDUCATION</w:t>
      </w:r>
    </w:p>
    <w:tbl>
      <w:tblPr>
        <w:tblW w:type="dxa" w:w="9780"/>
        <w:tblBorders>
          <w:top w:val="none" w:color="FFFFFF" w:sz="0"/>
          <w:left w:val="none" w:color="FFFFFF" w:sz="0"/>
          <w:bottom w:val="none" w:color="FFFFFF" w:sz="0"/>
          <w:right w:val="none" w:color="FFFFFF" w:sz="0"/>
          <w:insideH w:val="single" w:color="auto" w:sz="4"/>
          <w:insideV w:val="single" w:color="auto" w:sz="4"/>
        </w:tblBorders>
      </w:tblPr>
      <w:tblGrid>
        <w:gridCol w:w="3180"/>
        <w:gridCol w:w="120"/>
        <w:gridCol w:w="3180"/>
        <w:gridCol w:w="120"/>
        <w:gridCol w:w="3180"/>
      </w:tblGrid>
      <w:tr>
        <w:tc>
          <w:tcPr>
            <w:tcW w:type="dxa" w:w="3180"/>
            <w:tcBorders>
              <w:top w:val="single" w:color="D1D5DB" w:sz="1"/>
              <w:left w:val="single" w:color="D1D5DB" w:sz="1"/>
              <w:bottom w:val="single" w:color="D1D5DB" w:sz="1"/>
              <w:right w:val="single" w:color="D1D5DB" w:sz="1"/>
            </w:tcBorders>
            <w:shd w:fill="F3F4F6" w:val="clear"/>
            <w:tcMar>
              <w:top w:type="dxa" w:w="120"/>
              <w:left w:type="dxa" w:w="140"/>
              <w:bottom w:type="dxa" w:w="120"/>
              <w:right w:type="dxa" w:w="140"/>
            </w:tcMar>
            <w:vAlign w:val="top"/>
          </w:tcPr>
          <w:p>
            <w:pPr>
              <w:spacing w:after="40" w:before="0"/>
              <w:jc w:val="left"/>
            </w:pPr>
            <w:r>
              <w:rPr>
                <w:rFonts w:ascii="Arial" w:cs="Arial" w:eastAsia="Arial" w:hAnsi="Arial"/>
                <w:b/>
                <w:bCs/>
                <w:color w:val="1B3A5C"/>
                <w:sz w:val="18"/>
                <w:szCs w:val="18"/>
              </w:rPr>
              <w:t xml:space="preserve">🏠  Community Health Rotation Prep</w:t>
            </w:r>
          </w:p>
          <w:p>
            <w:pPr>
              <w:spacing w:after="0" w:before="0"/>
              <w:jc w:val="left"/>
            </w:pPr>
            <w:r>
              <w:rPr>
                <w:rFonts w:ascii="Arial" w:cs="Arial" w:eastAsia="Arial" w:hAnsi="Arial"/>
                <w:b w:val="false"/>
                <w:bCs w:val="false"/>
                <w:color w:val="111827"/>
                <w:sz w:val="17"/>
                <w:szCs w:val="17"/>
              </w:rPr>
              <w:t xml:space="preserve">Before a home visit, a student looks up the patient’s address. Lead risk, housing inspection history, nearest bus stop, and which community organizations serve that block — in under a minute.</w:t>
            </w:r>
          </w:p>
        </w:tc>
        <w:tc>
          <w:tcPr>
            <w:tcW w:type="dxa" w:w="1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tc>
        <w:tc>
          <w:tcPr>
            <w:tcW w:type="dxa" w:w="3180"/>
            <w:tcBorders>
              <w:top w:val="single" w:color="D1D5DB" w:sz="1"/>
              <w:left w:val="single" w:color="D1D5DB" w:sz="1"/>
              <w:bottom w:val="single" w:color="D1D5DB" w:sz="1"/>
              <w:right w:val="single" w:color="D1D5DB" w:sz="1"/>
            </w:tcBorders>
            <w:shd w:fill="F3F4F6" w:val="clear"/>
            <w:tcMar>
              <w:top w:type="dxa" w:w="120"/>
              <w:left w:type="dxa" w:w="140"/>
              <w:bottom w:type="dxa" w:w="120"/>
              <w:right w:type="dxa" w:w="140"/>
            </w:tcMar>
            <w:vAlign w:val="top"/>
          </w:tcPr>
          <w:p>
            <w:pPr>
              <w:spacing w:after="40" w:before="0"/>
              <w:jc w:val="left"/>
            </w:pPr>
            <w:r>
              <w:rPr>
                <w:rFonts w:ascii="Arial" w:cs="Arial" w:eastAsia="Arial" w:hAnsi="Arial"/>
                <w:b/>
                <w:bCs/>
                <w:color w:val="1B3A5C"/>
                <w:sz w:val="18"/>
                <w:szCs w:val="18"/>
              </w:rPr>
              <w:t xml:space="preserve">📊  Public Health Policy Analysis</w:t>
            </w:r>
          </w:p>
          <w:p>
            <w:pPr>
              <w:spacing w:after="0" w:before="0"/>
              <w:jc w:val="left"/>
            </w:pPr>
            <w:r>
              <w:rPr>
                <w:rFonts w:ascii="Arial" w:cs="Arial" w:eastAsia="Arial" w:hAnsi="Arial"/>
                <w:b w:val="false"/>
                <w:bCs w:val="false"/>
                <w:color w:val="111827"/>
                <w:sz w:val="17"/>
                <w:szCs w:val="17"/>
              </w:rPr>
              <w:t xml:space="preserve">Use neighborhood-level income, racial equity, and mortgage approval data to build a policy brief. Compare two neighborhoods. Ask: who gets resources and who doesn’t — and why.</w:t>
            </w:r>
          </w:p>
        </w:tc>
        <w:tc>
          <w:tcPr>
            <w:tcW w:type="dxa" w:w="1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tc>
        <w:tc>
          <w:tcPr>
            <w:tcW w:type="dxa" w:w="3180"/>
            <w:tcBorders>
              <w:top w:val="single" w:color="D1D5DB" w:sz="1"/>
              <w:left w:val="single" w:color="D1D5DB" w:sz="1"/>
              <w:bottom w:val="single" w:color="D1D5DB" w:sz="1"/>
              <w:right w:val="single" w:color="D1D5DB" w:sz="1"/>
            </w:tcBorders>
            <w:shd w:fill="F3F4F6" w:val="clear"/>
            <w:tcMar>
              <w:top w:type="dxa" w:w="120"/>
              <w:left w:type="dxa" w:w="140"/>
              <w:bottom w:type="dxa" w:w="120"/>
              <w:right w:type="dxa" w:w="140"/>
            </w:tcMar>
            <w:vAlign w:val="top"/>
          </w:tcPr>
          <w:p>
            <w:pPr>
              <w:spacing w:after="40" w:before="0"/>
              <w:jc w:val="left"/>
            </w:pPr>
            <w:r>
              <w:rPr>
                <w:rFonts w:ascii="Arial" w:cs="Arial" w:eastAsia="Arial" w:hAnsi="Arial"/>
                <w:b/>
                <w:bCs/>
                <w:color w:val="1B3A5C"/>
                <w:sz w:val="18"/>
                <w:szCs w:val="18"/>
              </w:rPr>
              <w:t xml:space="preserve">📍  Real-Address Case Studies</w:t>
            </w:r>
          </w:p>
          <w:p>
            <w:pPr>
              <w:spacing w:after="0" w:before="0"/>
              <w:jc w:val="left"/>
            </w:pPr>
            <w:r>
              <w:rPr>
                <w:rFonts w:ascii="Arial" w:cs="Arial" w:eastAsia="Arial" w:hAnsi="Arial"/>
                <w:b w:val="false"/>
                <w:bCs w:val="false"/>
                <w:color w:val="111827"/>
                <w:sz w:val="17"/>
                <w:szCs w:val="17"/>
              </w:rPr>
              <w:t xml:space="preserve">Build SDOH case studies anchored to real Cincinnati addresses. Students engage with actual data about actual places, then identify organizations already working on the problems they see.</w:t>
            </w:r>
          </w:p>
        </w:tc>
      </w:tr>
    </w:tbl>
    <w:p>
      <w:pPr>
        <w:spacing w:after="0" w:before="120"/>
        <w:jc w:val="left"/>
      </w:pPr>
    </w:p>
    <w:p>
      <w:pPr>
        <w:spacing w:after="40" w:before="120"/>
        <w:jc w:val="left"/>
      </w:pPr>
      <w:r>
        <w:rPr>
          <w:rFonts w:ascii="Arial" w:cs="Arial" w:eastAsia="Arial" w:hAnsi="Arial"/>
          <w:b/>
          <w:bCs/>
          <w:color w:val="1B3A5C"/>
          <w:sz w:val="16"/>
          <w:szCs w:val="16"/>
        </w:rPr>
        <w:t xml:space="preserve">THREE ADDRESSES — THREE STORIES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2600"/>
        <w:gridCol w:w="2000"/>
        <w:gridCol w:w="1400"/>
        <w:gridCol w:w="3000"/>
      </w:tblGrid>
      <w:tr>
        <w:tc>
          <w:tcPr>
            <w:tcW w:type="dxa" w:w="2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80"/>
            </w:tcMar>
            <w:vAlign w:val="top"/>
          </w:tcPr>
          <w:p>
            <w:pPr>
              <w:spacing w:after="0" w:before="0"/>
              <w:jc w:val="left"/>
            </w:pPr>
            <w:r>
              <w:rPr>
                <w:rFonts w:ascii="Arial" w:cs="Arial" w:eastAsia="Arial" w:hAnsi="Arial"/>
                <w:b/>
                <w:bCs/>
                <w:color w:val="FFFFFF"/>
                <w:sz w:val="16"/>
                <w:szCs w:val="16"/>
              </w:rPr>
              <w:t xml:space="preserve">Address</w:t>
            </w:r>
          </w:p>
        </w:tc>
        <w:tc>
          <w:tcPr>
            <w:tcW w:type="dxa" w:w="2000"/>
            <w:tcBorders>
              <w:top w:val="single" w:color="1B3A5C" w:sz="1"/>
              <w:left w:val="single" w:color="1B3A5C" w:sz="1"/>
              <w:bottom w:val="single" w:color="1B3A5C" w:sz="1"/>
              <w:right w:val="single" w:color="1B3A5C" w:sz="1"/>
            </w:tcBorders>
            <w:shd w:fill="1B3A5C" w:val="clear"/>
            <w:tcMar>
              <w:top w:type="dxa" w:w="60"/>
              <w:left w:type="dxa" w:w="80"/>
              <w:bottom w:type="dxa" w:w="60"/>
              <w:right w:type="dxa" w:w="80"/>
            </w:tcMar>
            <w:vAlign w:val="top"/>
          </w:tcPr>
          <w:p>
            <w:pPr>
              <w:spacing w:after="0" w:before="0"/>
              <w:jc w:val="left"/>
            </w:pPr>
            <w:r>
              <w:rPr>
                <w:rFonts w:ascii="Arial" w:cs="Arial" w:eastAsia="Arial" w:hAnsi="Arial"/>
                <w:b/>
                <w:bCs/>
                <w:color w:val="FFFFFF"/>
                <w:sz w:val="16"/>
                <w:szCs w:val="16"/>
              </w:rPr>
              <w:t xml:space="preserve">Neighborhood</w:t>
            </w:r>
          </w:p>
        </w:tc>
        <w:tc>
          <w:tcPr>
            <w:tcW w:type="dxa" w:w="1400"/>
            <w:tcBorders>
              <w:top w:val="single" w:color="1B3A5C" w:sz="1"/>
              <w:left w:val="single" w:color="1B3A5C" w:sz="1"/>
              <w:bottom w:val="single" w:color="1B3A5C" w:sz="1"/>
              <w:right w:val="single" w:color="1B3A5C" w:sz="1"/>
            </w:tcBorders>
            <w:shd w:fill="1B3A5C" w:val="clear"/>
            <w:tcMar>
              <w:top w:type="dxa" w:w="60"/>
              <w:left w:type="dxa" w:w="80"/>
              <w:bottom w:type="dxa" w:w="60"/>
              <w:right w:type="dxa" w:w="80"/>
            </w:tcMar>
            <w:vAlign w:val="top"/>
          </w:tcPr>
          <w:p>
            <w:pPr>
              <w:spacing w:after="0" w:before="0"/>
              <w:jc w:val="left"/>
            </w:pPr>
            <w:r>
              <w:rPr>
                <w:rFonts w:ascii="Arial" w:cs="Arial" w:eastAsia="Arial" w:hAnsi="Arial"/>
                <w:b/>
                <w:bCs/>
                <w:color w:val="FFFFFF"/>
                <w:sz w:val="16"/>
                <w:szCs w:val="16"/>
              </w:rPr>
              <w:t xml:space="preserve">Lead Risk</w:t>
            </w:r>
          </w:p>
        </w:tc>
        <w:tc>
          <w:tcPr>
            <w:tcW w:type="dxa" w:w="3000"/>
            <w:tcBorders>
              <w:top w:val="single" w:color="1B3A5C" w:sz="1"/>
              <w:left w:val="single" w:color="1B3A5C" w:sz="1"/>
              <w:bottom w:val="single" w:color="1B3A5C" w:sz="1"/>
              <w:right w:val="single" w:color="1B3A5C" w:sz="1"/>
            </w:tcBorders>
            <w:shd w:fill="1B3A5C" w:val="clear"/>
            <w:tcMar>
              <w:top w:type="dxa" w:w="60"/>
              <w:left w:type="dxa" w:w="80"/>
              <w:bottom w:type="dxa" w:w="60"/>
              <w:right w:type="dxa" w:w="100"/>
            </w:tcMar>
            <w:vAlign w:val="top"/>
          </w:tcPr>
          <w:p>
            <w:pPr>
              <w:spacing w:after="0" w:before="0"/>
              <w:jc w:val="left"/>
            </w:pPr>
            <w:r>
              <w:rPr>
                <w:rFonts w:ascii="Arial" w:cs="Arial" w:eastAsia="Arial" w:hAnsi="Arial"/>
                <w:b/>
                <w:bCs/>
                <w:color w:val="FFFFFF"/>
                <w:sz w:val="16"/>
                <w:szCs w:val="16"/>
              </w:rPr>
              <w:t xml:space="preserve">Notable data point</w:t>
            </w:r>
          </w:p>
        </w:tc>
      </w:tr>
      <w:tr>
        <w:tc>
          <w:tcPr>
            <w:tcW w:type="dxa" w:w="2600"/>
            <w:tcBorders>
              <w:top w:val="single" w:color="D1D5DB" w:sz="1"/>
              <w:left w:val="none" w:color="FFFFFF" w:sz="0"/>
              <w:bottom w:val="none" w:color="FFFFFF" w:sz="0"/>
              <w:right w:val="none" w:color="FFFFFF" w:sz="0"/>
            </w:tcBorders>
            <w:shd w:fill="FFFFFF" w:val="clear"/>
            <w:tcMar>
              <w:top w:type="dxa" w:w="60"/>
              <w:left w:type="dxa" w:w="100"/>
              <w:bottom w:type="dxa" w:w="60"/>
              <w:right w:type="dxa" w:w="80"/>
            </w:tcMar>
            <w:vAlign w:val="top"/>
          </w:tcPr>
          <w:p>
            <w:pPr>
              <w:spacing w:after="0" w:before="0"/>
              <w:jc w:val="left"/>
            </w:pPr>
            <w:r>
              <w:rPr>
                <w:rFonts w:ascii="Arial" w:cs="Arial" w:eastAsia="Arial" w:hAnsi="Arial"/>
                <w:b/>
                <w:bCs/>
                <w:color w:val="111827"/>
                <w:sz w:val="17"/>
                <w:szCs w:val="17"/>
              </w:rPr>
              <w:t xml:space="preserve">1015 Rutledge Ave</w:t>
            </w:r>
          </w:p>
        </w:tc>
        <w:tc>
          <w:tcPr>
            <w:tcW w:type="dxa" w:w="200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6B7280"/>
                <w:sz w:val="17"/>
                <w:szCs w:val="17"/>
              </w:rPr>
              <w:t xml:space="preserve">West Price Hill</w:t>
            </w:r>
          </w:p>
        </w:tc>
        <w:tc>
          <w:tcPr>
            <w:tcW w:type="dxa" w:w="140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bCs/>
                <w:color w:val="B91C1C"/>
                <w:sz w:val="17"/>
                <w:szCs w:val="17"/>
              </w:rPr>
              <w:t xml:space="preserve">Elevated</w:t>
            </w:r>
          </w:p>
        </w:tc>
        <w:tc>
          <w:tcPr>
            <w:tcW w:type="dxa" w:w="3000"/>
            <w:tcBorders>
              <w:top w:val="single" w:color="D1D5DB" w:sz="1"/>
              <w:left w:val="none" w:color="FFFFFF" w:sz="0"/>
              <w:bottom w:val="none" w:color="FFFFFF" w:sz="0"/>
              <w:right w:val="none" w:color="FFFFFF" w:sz="0"/>
            </w:tcBorders>
            <w:shd w:fill="FFFFFF"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111827"/>
                <w:sz w:val="17"/>
                <w:szCs w:val="17"/>
              </w:rPr>
              <w:t xml:space="preserve">36% of service lines lead/galvanized. Black poverty rate 54% vs. white 28% in same neighborhood.</w:t>
            </w:r>
          </w:p>
        </w:tc>
      </w:tr>
      <w:tr>
        <w:tc>
          <w:tcPr>
            <w:tcW w:type="dxa" w:w="2600"/>
            <w:tcBorders>
              <w:top w:val="single" w:color="D1D5DB" w:sz="1"/>
              <w:left w:val="none" w:color="FFFFFF" w:sz="0"/>
              <w:bottom w:val="none" w:color="FFFFFF" w:sz="0"/>
              <w:right w:val="none" w:color="FFFFFF" w:sz="0"/>
            </w:tcBorders>
            <w:shd w:fill="FFFFFF" w:val="clear"/>
            <w:tcMar>
              <w:top w:type="dxa" w:w="60"/>
              <w:left w:type="dxa" w:w="100"/>
              <w:bottom w:type="dxa" w:w="60"/>
              <w:right w:type="dxa" w:w="80"/>
            </w:tcMar>
            <w:vAlign w:val="top"/>
          </w:tcPr>
          <w:p>
            <w:pPr>
              <w:spacing w:after="0" w:before="0"/>
              <w:jc w:val="left"/>
            </w:pPr>
            <w:r>
              <w:rPr>
                <w:rFonts w:ascii="Arial" w:cs="Arial" w:eastAsia="Arial" w:hAnsi="Arial"/>
                <w:b/>
                <w:bCs/>
                <w:color w:val="111827"/>
                <w:sz w:val="17"/>
                <w:szCs w:val="17"/>
              </w:rPr>
              <w:t xml:space="preserve">3110 Vine St</w:t>
            </w:r>
          </w:p>
        </w:tc>
        <w:tc>
          <w:tcPr>
            <w:tcW w:type="dxa" w:w="200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6B7280"/>
                <w:sz w:val="17"/>
                <w:szCs w:val="17"/>
              </w:rPr>
              <w:t xml:space="preserve">Corryville (UC Nursing)</w:t>
            </w:r>
          </w:p>
        </w:tc>
        <w:tc>
          <w:tcPr>
            <w:tcW w:type="dxa" w:w="140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bCs/>
                <w:color w:val="D97706"/>
                <w:sz w:val="17"/>
                <w:szCs w:val="17"/>
              </w:rPr>
              <w:t xml:space="preserve">Moderate</w:t>
            </w:r>
          </w:p>
        </w:tc>
        <w:tc>
          <w:tcPr>
            <w:tcW w:type="dxa" w:w="3000"/>
            <w:tcBorders>
              <w:top w:val="single" w:color="D1D5DB" w:sz="1"/>
              <w:left w:val="none" w:color="FFFFFF" w:sz="0"/>
              <w:bottom w:val="none" w:color="FFFFFF" w:sz="0"/>
              <w:right w:val="none" w:color="FFFFFF" w:sz="0"/>
            </w:tcBorders>
            <w:shd w:fill="FFFFFF"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111827"/>
                <w:sz w:val="17"/>
                <w:szCs w:val="17"/>
              </w:rPr>
              <w:t xml:space="preserve">Black mortgage approval rate 54% vs. 86% white in Clifton — a 31-point gap.</w:t>
            </w:r>
          </w:p>
        </w:tc>
      </w:tr>
      <w:tr>
        <w:tc>
          <w:tcPr>
            <w:tcW w:type="dxa" w:w="2600"/>
            <w:tcBorders>
              <w:top w:val="single" w:color="D1D5DB" w:sz="1"/>
              <w:left w:val="none" w:color="FFFFFF" w:sz="0"/>
              <w:bottom w:val="none" w:color="FFFFFF" w:sz="0"/>
              <w:right w:val="none" w:color="FFFFFF" w:sz="0"/>
            </w:tcBorders>
            <w:shd w:fill="FFFFFF" w:val="clear"/>
            <w:tcMar>
              <w:top w:type="dxa" w:w="60"/>
              <w:left w:type="dxa" w:w="100"/>
              <w:bottom w:type="dxa" w:w="60"/>
              <w:right w:type="dxa" w:w="80"/>
            </w:tcMar>
            <w:vAlign w:val="top"/>
          </w:tcPr>
          <w:p>
            <w:pPr>
              <w:spacing w:after="0" w:before="0"/>
              <w:jc w:val="left"/>
            </w:pPr>
            <w:r>
              <w:rPr>
                <w:rFonts w:ascii="Arial" w:cs="Arial" w:eastAsia="Arial" w:hAnsi="Arial"/>
                <w:b/>
                <w:bCs/>
                <w:color w:val="111827"/>
                <w:sz w:val="17"/>
                <w:szCs w:val="17"/>
              </w:rPr>
              <w:t xml:space="preserve">2715 Woodburn Ave</w:t>
            </w:r>
          </w:p>
        </w:tc>
        <w:tc>
          <w:tcPr>
            <w:tcW w:type="dxa" w:w="200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6B7280"/>
                <w:sz w:val="17"/>
                <w:szCs w:val="17"/>
              </w:rPr>
              <w:t xml:space="preserve">East Walnut Hills</w:t>
            </w:r>
          </w:p>
        </w:tc>
        <w:tc>
          <w:tcPr>
            <w:tcW w:type="dxa" w:w="140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bCs/>
                <w:color w:val="D97706"/>
                <w:sz w:val="17"/>
                <w:szCs w:val="17"/>
              </w:rPr>
              <w:t xml:space="preserve">Moderate</w:t>
            </w:r>
          </w:p>
        </w:tc>
        <w:tc>
          <w:tcPr>
            <w:tcW w:type="dxa" w:w="3000"/>
            <w:tcBorders>
              <w:top w:val="single" w:color="D1D5DB" w:sz="1"/>
              <w:left w:val="none" w:color="FFFFFF" w:sz="0"/>
              <w:bottom w:val="none" w:color="FFFFFF" w:sz="0"/>
              <w:right w:val="none" w:color="FFFFFF" w:sz="0"/>
            </w:tcBorders>
            <w:shd w:fill="FFFFFF"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111827"/>
                <w:sz w:val="17"/>
                <w:szCs w:val="17"/>
              </w:rPr>
              <w:t xml:space="preserve">Active gentrification corridor. Communities Act Now surfaced as displacement resource.</w:t>
            </w:r>
          </w:p>
        </w:tc>
      </w:tr>
    </w:tbl>
    <w:p>
      <w:pPr>
        <w:spacing w:after="0" w:before="100"/>
        <w:jc w:val="left"/>
      </w:pPr>
    </w:p>
    <w:p>
      <w:pPr>
        <w:spacing w:after="0" w:before="0"/>
        <w:jc w:val="left"/>
      </w:pPr>
      <w:r>
        <w:rPr>
          <w:rFonts w:ascii="Arial" w:cs="Arial" w:eastAsia="Arial" w:hAnsi="Arial"/>
          <w:b w:val="false"/>
          <w:bCs w:val="false"/>
          <w:color w:val="6B7280"/>
          <w:sz w:val="15"/>
          <w:szCs w:val="15"/>
        </w:rPr>
        <w:t xml:space="preserve">Lead risk classifications (Elevated / Moderate / Low) reflect the share of neighborhood service lines confirmed as lead or galvanized, per GCWW inventory as of March 2026. Mortgage data from CFPB HMDA 2022.</w:t>
      </w:r>
    </w:p>
    <w:p>
      <w:pPr>
        <w:spacing w:after="0" w:before="0"/>
        <w:jc w:val="left"/>
      </w:pPr>
      <w:r>
        <w:br w:type="page"/>
      </w:r>
    </w:p>
    <w:tbl>
      <w:tblPr>
        <w:tblW w:type="dxa" w:w="8840"/>
        <w:tblBorders>
          <w:top w:val="none" w:color="FFFFFF" w:sz="0"/>
          <w:left w:val="none" w:color="FFFFFF" w:sz="0"/>
          <w:bottom w:val="none" w:color="FFFFFF" w:sz="0"/>
          <w:right w:val="none" w:color="FFFFFF" w:sz="0"/>
          <w:insideH w:val="single" w:color="auto" w:sz="4"/>
          <w:insideV w:val="single" w:color="auto" w:sz="4"/>
        </w:tblBorders>
      </w:tblPr>
      <w:tblGrid>
        <w:gridCol w:w="2120"/>
        <w:gridCol w:w="120"/>
        <w:gridCol w:w="2120"/>
        <w:gridCol w:w="120"/>
        <w:gridCol w:w="2120"/>
        <w:gridCol w:w="120"/>
        <w:gridCol w:w="2120"/>
      </w:tblGrid>
      <w:tr>
        <w:tc>
          <w:tcPr>
            <w:tcW w:type="dxa" w:w="2120"/>
            <w:tcBorders>
              <w:top w:val="single" w:color="D1D5DB" w:sz="1"/>
              <w:left w:val="single" w:color="D1D5DB" w:sz="1"/>
              <w:bottom w:val="single" w:color="D1D5DB" w:sz="1"/>
              <w:right w:val="single" w:color="D1D5DB" w:sz="1"/>
            </w:tcBorders>
            <w:shd w:fill="F3F4F6" w:val="clear"/>
            <w:tcMar>
              <w:top w:type="dxa" w:w="100"/>
              <w:left w:type="dxa" w:w="80"/>
              <w:bottom w:type="dxa" w:w="100"/>
              <w:right w:type="dxa" w:w="80"/>
            </w:tcMar>
            <w:vAlign w:val="top"/>
          </w:tcPr>
          <w:p>
            <w:pPr>
              <w:spacing w:after="0" w:before="0"/>
              <w:jc w:val="center"/>
            </w:pPr>
            <w:r>
              <w:rPr>
                <w:rFonts w:ascii="Arial" w:cs="Arial" w:eastAsia="Arial" w:hAnsi="Arial"/>
                <w:b/>
                <w:bCs/>
                <w:color w:val="1B3A5C"/>
                <w:sz w:val="36"/>
                <w:szCs w:val="36"/>
              </w:rPr>
              <w:t xml:space="preserve">52</w:t>
            </w:r>
          </w:p>
          <w:p>
            <w:pPr>
              <w:spacing w:after="0" w:before="0"/>
              <w:jc w:val="center"/>
            </w:pPr>
            <w:r>
              <w:rPr>
                <w:rFonts w:ascii="Arial" w:cs="Arial" w:eastAsia="Arial" w:hAnsi="Arial"/>
                <w:b w:val="false"/>
                <w:bCs w:val="false"/>
                <w:color w:val="6B7280"/>
                <w:sz w:val="16"/>
                <w:szCs w:val="16"/>
              </w:rPr>
              <w:t xml:space="preserve">Cincinnati
neighborhoods tracked</w:t>
            </w:r>
          </w:p>
        </w:tc>
        <w:tc>
          <w:tcPr>
            <w:tcW w:type="dxa" w:w="1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tc>
        <w:tc>
          <w:tcPr>
            <w:tcW w:type="dxa" w:w="2120"/>
            <w:tcBorders>
              <w:top w:val="single" w:color="D1D5DB" w:sz="1"/>
              <w:left w:val="single" w:color="D1D5DB" w:sz="1"/>
              <w:bottom w:val="single" w:color="D1D5DB" w:sz="1"/>
              <w:right w:val="single" w:color="D1D5DB" w:sz="1"/>
            </w:tcBorders>
            <w:shd w:fill="F3F4F6" w:val="clear"/>
            <w:tcMar>
              <w:top w:type="dxa" w:w="100"/>
              <w:left w:type="dxa" w:w="80"/>
              <w:bottom w:type="dxa" w:w="100"/>
              <w:right w:type="dxa" w:w="80"/>
            </w:tcMar>
            <w:vAlign w:val="top"/>
          </w:tcPr>
          <w:p>
            <w:pPr>
              <w:spacing w:after="0" w:before="0"/>
              <w:jc w:val="center"/>
            </w:pPr>
            <w:r>
              <w:rPr>
                <w:rFonts w:ascii="Arial" w:cs="Arial" w:eastAsia="Arial" w:hAnsi="Arial"/>
                <w:b/>
                <w:bCs/>
                <w:color w:val="1B3A5C"/>
                <w:sz w:val="36"/>
                <w:szCs w:val="36"/>
              </w:rPr>
              <w:t xml:space="preserve">9</w:t>
            </w:r>
          </w:p>
          <w:p>
            <w:pPr>
              <w:spacing w:after="0" w:before="0"/>
              <w:jc w:val="center"/>
            </w:pPr>
            <w:r>
              <w:rPr>
                <w:rFonts w:ascii="Arial" w:cs="Arial" w:eastAsia="Arial" w:hAnsi="Arial"/>
                <w:b w:val="false"/>
                <w:bCs w:val="false"/>
                <w:color w:val="6B7280"/>
                <w:sz w:val="16"/>
                <w:szCs w:val="16"/>
              </w:rPr>
              <w:t xml:space="preserve">scored dimensions
in Neighborhood Explorer</w:t>
            </w:r>
          </w:p>
        </w:tc>
        <w:tc>
          <w:tcPr>
            <w:tcW w:type="dxa" w:w="1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tc>
        <w:tc>
          <w:tcPr>
            <w:tcW w:type="dxa" w:w="2120"/>
            <w:tcBorders>
              <w:top w:val="single" w:color="D1D5DB" w:sz="1"/>
              <w:left w:val="single" w:color="D1D5DB" w:sz="1"/>
              <w:bottom w:val="single" w:color="D1D5DB" w:sz="1"/>
              <w:right w:val="single" w:color="D1D5DB" w:sz="1"/>
            </w:tcBorders>
            <w:shd w:fill="F3F4F6" w:val="clear"/>
            <w:tcMar>
              <w:top w:type="dxa" w:w="100"/>
              <w:left w:type="dxa" w:w="80"/>
              <w:bottom w:type="dxa" w:w="100"/>
              <w:right w:type="dxa" w:w="80"/>
            </w:tcMar>
            <w:vAlign w:val="top"/>
          </w:tcPr>
          <w:p>
            <w:pPr>
              <w:spacing w:after="0" w:before="0"/>
              <w:jc w:val="center"/>
            </w:pPr>
            <w:r>
              <w:rPr>
                <w:rFonts w:ascii="Arial" w:cs="Arial" w:eastAsia="Arial" w:hAnsi="Arial"/>
                <w:b/>
                <w:bCs/>
                <w:color w:val="1B3A5C"/>
                <w:sz w:val="36"/>
                <w:szCs w:val="36"/>
              </w:rPr>
              <w:t xml:space="preserve">12+</w:t>
            </w:r>
          </w:p>
          <w:p>
            <w:pPr>
              <w:spacing w:after="0" w:before="0"/>
              <w:jc w:val="center"/>
            </w:pPr>
            <w:r>
              <w:rPr>
                <w:rFonts w:ascii="Arial" w:cs="Arial" w:eastAsia="Arial" w:hAnsi="Arial"/>
                <w:b w:val="false"/>
                <w:bCs w:val="false"/>
                <w:color w:val="6B7280"/>
                <w:sz w:val="16"/>
                <w:szCs w:val="16"/>
              </w:rPr>
              <w:t xml:space="preserve">live data sources
updated daily or better</w:t>
            </w:r>
          </w:p>
        </w:tc>
        <w:tc>
          <w:tcPr>
            <w:tcW w:type="dxa" w:w="12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tc>
        <w:tc>
          <w:tcPr>
            <w:tcW w:type="dxa" w:w="2120"/>
            <w:tcBorders>
              <w:top w:val="single" w:color="D1D5DB" w:sz="1"/>
              <w:left w:val="single" w:color="D1D5DB" w:sz="1"/>
              <w:bottom w:val="single" w:color="D1D5DB" w:sz="1"/>
              <w:right w:val="single" w:color="D1D5DB" w:sz="1"/>
            </w:tcBorders>
            <w:shd w:fill="F3F4F6" w:val="clear"/>
            <w:tcMar>
              <w:top w:type="dxa" w:w="100"/>
              <w:left w:type="dxa" w:w="80"/>
              <w:bottom w:type="dxa" w:w="100"/>
              <w:right w:type="dxa" w:w="80"/>
            </w:tcMar>
            <w:vAlign w:val="top"/>
          </w:tcPr>
          <w:p>
            <w:pPr>
              <w:spacing w:after="0" w:before="0"/>
              <w:jc w:val="center"/>
            </w:pPr>
            <w:r>
              <w:rPr>
                <w:rFonts w:ascii="Arial" w:cs="Arial" w:eastAsia="Arial" w:hAnsi="Arial"/>
                <w:b/>
                <w:bCs/>
                <w:color w:val="1B3A5C"/>
                <w:sz w:val="36"/>
                <w:szCs w:val="36"/>
              </w:rPr>
              <w:t xml:space="preserve">8,191</w:t>
            </w:r>
          </w:p>
          <w:p>
            <w:pPr>
              <w:spacing w:after="0" w:before="0"/>
              <w:jc w:val="center"/>
            </w:pPr>
            <w:r>
              <w:rPr>
                <w:rFonts w:ascii="Arial" w:cs="Arial" w:eastAsia="Arial" w:hAnsi="Arial"/>
                <w:b w:val="false"/>
                <w:bCs w:val="false"/>
                <w:color w:val="6B7280"/>
                <w:sz w:val="16"/>
                <w:szCs w:val="16"/>
              </w:rPr>
              <w:t xml:space="preserve">assisted housing
units tracked citywide</w:t>
            </w:r>
          </w:p>
        </w:tc>
      </w:tr>
    </w:tbl>
    <w:p>
      <w:pPr>
        <w:spacing w:after="0" w:before="120"/>
        <w:jc w:val="left"/>
      </w:pPr>
    </w:p>
    <w:p>
      <w:pPr>
        <w:spacing w:after="40" w:before="120"/>
        <w:jc w:val="left"/>
      </w:pPr>
      <w:r>
        <w:rPr>
          <w:rFonts w:ascii="Arial" w:cs="Arial" w:eastAsia="Arial" w:hAnsi="Arial"/>
          <w:b/>
          <w:bCs/>
          <w:color w:val="1B3A5C"/>
          <w:sz w:val="16"/>
          <w:szCs w:val="16"/>
        </w:rPr>
        <w:t xml:space="preserve">DATA SOURCES</w:t>
      </w:r>
    </w:p>
    <w:tbl>
      <w:tblPr>
        <w:tblW w:type="dxa" w:w="8960"/>
        <w:tblBorders>
          <w:top w:val="none" w:color="FFFFFF" w:sz="0"/>
          <w:left w:val="none" w:color="FFFFFF" w:sz="0"/>
          <w:bottom w:val="none" w:color="FFFFFF" w:sz="0"/>
          <w:right w:val="none" w:color="FFFFFF" w:sz="0"/>
          <w:insideH w:val="single" w:color="auto" w:sz="4"/>
          <w:insideV w:val="single" w:color="auto" w:sz="4"/>
        </w:tblBorders>
      </w:tblPr>
      <w:tblGrid>
        <w:gridCol w:w="2800"/>
        <w:gridCol w:w="4160"/>
        <w:gridCol w:w="2000"/>
      </w:tblGrid>
      <w:tr>
        <w:tc>
          <w:tcPr>
            <w:tcW w:type="dxa" w:w="2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80"/>
            </w:tcMar>
            <w:vAlign w:val="top"/>
          </w:tcPr>
          <w:p>
            <w:pPr>
              <w:spacing w:after="0" w:before="0"/>
              <w:jc w:val="left"/>
            </w:pPr>
            <w:r>
              <w:rPr>
                <w:rFonts w:ascii="Arial" w:cs="Arial" w:eastAsia="Arial" w:hAnsi="Arial"/>
                <w:b/>
                <w:bCs/>
                <w:color w:val="FFFFFF"/>
                <w:sz w:val="16"/>
                <w:szCs w:val="16"/>
              </w:rPr>
              <w:t xml:space="preserve">Source</w:t>
            </w:r>
          </w:p>
        </w:tc>
        <w:tc>
          <w:tcPr>
            <w:tcW w:type="dxa" w:w="4160"/>
            <w:tcBorders>
              <w:top w:val="single" w:color="1B3A5C" w:sz="1"/>
              <w:left w:val="single" w:color="1B3A5C" w:sz="1"/>
              <w:bottom w:val="single" w:color="1B3A5C" w:sz="1"/>
              <w:right w:val="single" w:color="1B3A5C" w:sz="1"/>
            </w:tcBorders>
            <w:shd w:fill="1B3A5C"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FFFFFF"/>
                <w:sz w:val="16"/>
                <w:szCs w:val="16"/>
              </w:rPr>
              <w:t xml:space="preserve">What it provides</w:t>
            </w:r>
          </w:p>
        </w:tc>
        <w:tc>
          <w:tcPr>
            <w:tcW w:type="dxa" w:w="2000"/>
            <w:tcBorders>
              <w:top w:val="single" w:color="1B3A5C" w:sz="1"/>
              <w:left w:val="single" w:color="1B3A5C" w:sz="1"/>
              <w:bottom w:val="single" w:color="1B3A5C" w:sz="1"/>
              <w:right w:val="single" w:color="1B3A5C" w:sz="1"/>
            </w:tcBorders>
            <w:shd w:fill="1B3A5C"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D1D5DB"/>
                <w:sz w:val="16"/>
                <w:szCs w:val="16"/>
              </w:rPr>
              <w:t xml:space="preserve">Vintage / Update</w:t>
            </w:r>
          </w:p>
        </w:tc>
      </w:tr>
      <w:tr>
        <w:tc>
          <w:tcPr>
            <w:tcW w:type="dxa" w:w="2800"/>
            <w:tcBorders>
              <w:top w:val="single" w:color="D1D5DB" w:sz="1"/>
              <w:left w:val="none" w:color="FFFFFF" w:sz="0"/>
              <w:bottom w:val="none" w:color="FFFFFF" w:sz="0"/>
              <w:right w:val="none" w:color="FFFFFF" w:sz="0"/>
            </w:tcBorders>
            <w:shd w:fill="FFFFFF" w:val="clear"/>
            <w:tcMar>
              <w:top w:type="dxa" w:w="60"/>
              <w:left w:type="dxa" w:w="10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Cincinnati Open Data (Socrata)</w:t>
            </w:r>
          </w:p>
        </w:tc>
        <w:tc>
          <w:tcPr>
            <w:tcW w:type="dxa" w:w="416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Crime incidents, building permits, inspections, 311 requests, tax abatements</w:t>
            </w:r>
          </w:p>
        </w:tc>
        <w:tc>
          <w:tcPr>
            <w:tcW w:type="dxa" w:w="2000"/>
            <w:tcBorders>
              <w:top w:val="single" w:color="D1D5DB" w:sz="1"/>
              <w:left w:val="none" w:color="FFFFFF" w:sz="0"/>
              <w:bottom w:val="none" w:color="FFFFFF" w:sz="0"/>
              <w:right w:val="none" w:color="FFFFFF" w:sz="0"/>
            </w:tcBorders>
            <w:shd w:fill="FFFFFF"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6B7280"/>
                <w:sz w:val="17"/>
                <w:szCs w:val="17"/>
              </w:rPr>
              <w:t xml:space="preserve">Updated daily</w:t>
            </w:r>
          </w:p>
        </w:tc>
      </w:tr>
      <w:tr>
        <w:tc>
          <w:tcPr>
            <w:tcW w:type="dxa" w:w="2800"/>
            <w:tcBorders>
              <w:top w:val="single" w:color="D1D5DB" w:sz="1"/>
              <w:left w:val="none" w:color="FFFFFF" w:sz="0"/>
              <w:bottom w:val="none" w:color="FFFFFF" w:sz="0"/>
              <w:right w:val="none" w:color="FFFFFF" w:sz="0"/>
            </w:tcBorders>
            <w:shd w:fill="FFFFFF" w:val="clear"/>
            <w:tcMar>
              <w:top w:type="dxa" w:w="60"/>
              <w:left w:type="dxa" w:w="10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GCWW / Cincinnati Health Dept</w:t>
            </w:r>
          </w:p>
        </w:tc>
        <w:tc>
          <w:tcPr>
            <w:tcW w:type="dxa" w:w="416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Lead service line inventory by neighborhood</w:t>
            </w:r>
          </w:p>
        </w:tc>
        <w:tc>
          <w:tcPr>
            <w:tcW w:type="dxa" w:w="2000"/>
            <w:tcBorders>
              <w:top w:val="single" w:color="D1D5DB" w:sz="1"/>
              <w:left w:val="none" w:color="FFFFFF" w:sz="0"/>
              <w:bottom w:val="none" w:color="FFFFFF" w:sz="0"/>
              <w:right w:val="none" w:color="FFFFFF" w:sz="0"/>
            </w:tcBorders>
            <w:shd w:fill="FFFFFF"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6B7280"/>
                <w:sz w:val="17"/>
                <w:szCs w:val="17"/>
              </w:rPr>
              <w:t xml:space="preserve">March 2026</w:t>
            </w:r>
          </w:p>
        </w:tc>
      </w:tr>
      <w:tr>
        <w:tc>
          <w:tcPr>
            <w:tcW w:type="dxa" w:w="2800"/>
            <w:tcBorders>
              <w:top w:val="single" w:color="D1D5DB" w:sz="1"/>
              <w:left w:val="none" w:color="FFFFFF" w:sz="0"/>
              <w:bottom w:val="none" w:color="FFFFFF" w:sz="0"/>
              <w:right w:val="none" w:color="FFFFFF" w:sz="0"/>
            </w:tcBorders>
            <w:shd w:fill="FFFFFF" w:val="clear"/>
            <w:tcMar>
              <w:top w:type="dxa" w:w="60"/>
              <w:left w:type="dxa" w:w="10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Census ACS 5-Year</w:t>
            </w:r>
          </w:p>
        </w:tc>
        <w:tc>
          <w:tcPr>
            <w:tcW w:type="dxa" w:w="416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Household income, rent burden, demographics by tract</w:t>
            </w:r>
          </w:p>
        </w:tc>
        <w:tc>
          <w:tcPr>
            <w:tcW w:type="dxa" w:w="2000"/>
            <w:tcBorders>
              <w:top w:val="single" w:color="D1D5DB" w:sz="1"/>
              <w:left w:val="none" w:color="FFFFFF" w:sz="0"/>
              <w:bottom w:val="none" w:color="FFFFFF" w:sz="0"/>
              <w:right w:val="none" w:color="FFFFFF" w:sz="0"/>
            </w:tcBorders>
            <w:shd w:fill="FFFFFF"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6B7280"/>
                <w:sz w:val="17"/>
                <w:szCs w:val="17"/>
              </w:rPr>
              <w:t xml:space="preserve">2022 vintage</w:t>
            </w:r>
          </w:p>
        </w:tc>
      </w:tr>
      <w:tr>
        <w:tc>
          <w:tcPr>
            <w:tcW w:type="dxa" w:w="2800"/>
            <w:tcBorders>
              <w:top w:val="single" w:color="D1D5DB" w:sz="1"/>
              <w:left w:val="none" w:color="FFFFFF" w:sz="0"/>
              <w:bottom w:val="none" w:color="FFFFFF" w:sz="0"/>
              <w:right w:val="none" w:color="FFFFFF" w:sz="0"/>
            </w:tcBorders>
            <w:shd w:fill="FFFFFF" w:val="clear"/>
            <w:tcMar>
              <w:top w:type="dxa" w:w="60"/>
              <w:left w:type="dxa" w:w="10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CFPB HMDA</w:t>
            </w:r>
          </w:p>
        </w:tc>
        <w:tc>
          <w:tcPr>
            <w:tcW w:type="dxa" w:w="416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Mortgage approval rates by race and neighborhood</w:t>
            </w:r>
          </w:p>
        </w:tc>
        <w:tc>
          <w:tcPr>
            <w:tcW w:type="dxa" w:w="2000"/>
            <w:tcBorders>
              <w:top w:val="single" w:color="D1D5DB" w:sz="1"/>
              <w:left w:val="none" w:color="FFFFFF" w:sz="0"/>
              <w:bottom w:val="none" w:color="FFFFFF" w:sz="0"/>
              <w:right w:val="none" w:color="FFFFFF" w:sz="0"/>
            </w:tcBorders>
            <w:shd w:fill="FFFFFF"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6B7280"/>
                <w:sz w:val="17"/>
                <w:szCs w:val="17"/>
              </w:rPr>
              <w:t xml:space="preserve">2022 vintage</w:t>
            </w:r>
          </w:p>
        </w:tc>
      </w:tr>
      <w:tr>
        <w:tc>
          <w:tcPr>
            <w:tcW w:type="dxa" w:w="2800"/>
            <w:tcBorders>
              <w:top w:val="single" w:color="D1D5DB" w:sz="1"/>
              <w:left w:val="none" w:color="FFFFFF" w:sz="0"/>
              <w:bottom w:val="none" w:color="FFFFFF" w:sz="0"/>
              <w:right w:val="none" w:color="FFFFFF" w:sz="0"/>
            </w:tcBorders>
            <w:shd w:fill="FFFFFF" w:val="clear"/>
            <w:tcMar>
              <w:top w:type="dxa" w:w="60"/>
              <w:left w:type="dxa" w:w="10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HUD Subsidized Housing</w:t>
            </w:r>
          </w:p>
        </w:tc>
        <w:tc>
          <w:tcPr>
            <w:tcW w:type="dxa" w:w="416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Affordable housing inventory, program types, expiry dates</w:t>
            </w:r>
          </w:p>
        </w:tc>
        <w:tc>
          <w:tcPr>
            <w:tcW w:type="dxa" w:w="2000"/>
            <w:tcBorders>
              <w:top w:val="single" w:color="D1D5DB" w:sz="1"/>
              <w:left w:val="none" w:color="FFFFFF" w:sz="0"/>
              <w:bottom w:val="none" w:color="FFFFFF" w:sz="0"/>
              <w:right w:val="none" w:color="FFFFFF" w:sz="0"/>
            </w:tcBorders>
            <w:shd w:fill="FFFFFF"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6B7280"/>
                <w:sz w:val="17"/>
                <w:szCs w:val="17"/>
              </w:rPr>
              <w:t xml:space="preserve">2025 vintage</w:t>
            </w:r>
          </w:p>
        </w:tc>
      </w:tr>
      <w:tr>
        <w:tc>
          <w:tcPr>
            <w:tcW w:type="dxa" w:w="2800"/>
            <w:tcBorders>
              <w:top w:val="single" w:color="D1D5DB" w:sz="1"/>
              <w:left w:val="none" w:color="FFFFFF" w:sz="0"/>
              <w:bottom w:val="none" w:color="FFFFFF" w:sz="0"/>
              <w:right w:val="none" w:color="FFFFFF" w:sz="0"/>
            </w:tcBorders>
            <w:shd w:fill="FFFFFF" w:val="clear"/>
            <w:tcMar>
              <w:top w:type="dxa" w:w="60"/>
              <w:left w:type="dxa" w:w="10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EPA AirToxScreen</w:t>
            </w:r>
          </w:p>
        </w:tc>
        <w:tc>
          <w:tcPr>
            <w:tcW w:type="dxa" w:w="416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Air toxics cancer risk, diesel PM by neighborhood</w:t>
            </w:r>
          </w:p>
        </w:tc>
        <w:tc>
          <w:tcPr>
            <w:tcW w:type="dxa" w:w="2000"/>
            <w:tcBorders>
              <w:top w:val="single" w:color="D1D5DB" w:sz="1"/>
              <w:left w:val="none" w:color="FFFFFF" w:sz="0"/>
              <w:bottom w:val="none" w:color="FFFFFF" w:sz="0"/>
              <w:right w:val="none" w:color="FFFFFF" w:sz="0"/>
            </w:tcBorders>
            <w:shd w:fill="FFFFFF"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6B7280"/>
                <w:sz w:val="17"/>
                <w:szCs w:val="17"/>
              </w:rPr>
              <w:t xml:space="preserve">2019 vintage — disclosed in UI</w:t>
            </w:r>
          </w:p>
        </w:tc>
      </w:tr>
      <w:tr>
        <w:tc>
          <w:tcPr>
            <w:tcW w:type="dxa" w:w="2800"/>
            <w:tcBorders>
              <w:top w:val="single" w:color="D1D5DB" w:sz="1"/>
              <w:left w:val="none" w:color="FFFFFF" w:sz="0"/>
              <w:bottom w:val="none" w:color="FFFFFF" w:sz="0"/>
              <w:right w:val="none" w:color="FFFFFF" w:sz="0"/>
            </w:tcBorders>
            <w:shd w:fill="FFFFFF" w:val="clear"/>
            <w:tcMar>
              <w:top w:type="dxa" w:w="60"/>
              <w:left w:type="dxa" w:w="10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FEMA NFHL</w:t>
            </w:r>
          </w:p>
        </w:tc>
        <w:tc>
          <w:tcPr>
            <w:tcW w:type="dxa" w:w="416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Flood zone classification by address</w:t>
            </w:r>
          </w:p>
        </w:tc>
        <w:tc>
          <w:tcPr>
            <w:tcW w:type="dxa" w:w="2000"/>
            <w:tcBorders>
              <w:top w:val="single" w:color="D1D5DB" w:sz="1"/>
              <w:left w:val="none" w:color="FFFFFF" w:sz="0"/>
              <w:bottom w:val="none" w:color="FFFFFF" w:sz="0"/>
              <w:right w:val="none" w:color="FFFFFF" w:sz="0"/>
            </w:tcBorders>
            <w:shd w:fill="FFFFFF"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6B7280"/>
                <w:sz w:val="17"/>
                <w:szCs w:val="17"/>
              </w:rPr>
              <w:t xml:space="preserve">Live federal API</w:t>
            </w:r>
          </w:p>
        </w:tc>
      </w:tr>
      <w:tr>
        <w:tc>
          <w:tcPr>
            <w:tcW w:type="dxa" w:w="2800"/>
            <w:tcBorders>
              <w:top w:val="single" w:color="D1D5DB" w:sz="1"/>
              <w:left w:val="none" w:color="FFFFFF" w:sz="0"/>
              <w:bottom w:val="none" w:color="FFFFFF" w:sz="0"/>
              <w:right w:val="none" w:color="FFFFFF" w:sz="0"/>
            </w:tcBorders>
            <w:shd w:fill="FFFFFF" w:val="clear"/>
            <w:tcMar>
              <w:top w:type="dxa" w:w="60"/>
              <w:left w:type="dxa" w:w="10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SORTA GTFS</w:t>
            </w:r>
          </w:p>
        </w:tc>
        <w:tc>
          <w:tcPr>
            <w:tcW w:type="dxa" w:w="416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Bus stop locations city-wide</w:t>
            </w:r>
          </w:p>
        </w:tc>
        <w:tc>
          <w:tcPr>
            <w:tcW w:type="dxa" w:w="2000"/>
            <w:tcBorders>
              <w:top w:val="single" w:color="D1D5DB" w:sz="1"/>
              <w:left w:val="none" w:color="FFFFFF" w:sz="0"/>
              <w:bottom w:val="none" w:color="FFFFFF" w:sz="0"/>
              <w:right w:val="none" w:color="FFFFFF" w:sz="0"/>
            </w:tcBorders>
            <w:shd w:fill="FFFFFF"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6B7280"/>
                <w:sz w:val="17"/>
                <w:szCs w:val="17"/>
              </w:rPr>
              <w:t xml:space="preserve">Static — 3,743 stops</w:t>
            </w:r>
          </w:p>
        </w:tc>
      </w:tr>
      <w:tr>
        <w:tc>
          <w:tcPr>
            <w:tcW w:type="dxa" w:w="2800"/>
            <w:tcBorders>
              <w:top w:val="single" w:color="D1D5DB" w:sz="1"/>
              <w:left w:val="none" w:color="FFFFFF" w:sz="0"/>
              <w:bottom w:val="none" w:color="FFFFFF" w:sz="0"/>
              <w:right w:val="none" w:color="FFFFFF" w:sz="0"/>
            </w:tcBorders>
            <w:shd w:fill="FFFFFF" w:val="clear"/>
            <w:tcMar>
              <w:top w:type="dxa" w:w="60"/>
              <w:left w:type="dxa" w:w="10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CAGIS / ArcGIS (City of Cincinnati)</w:t>
            </w:r>
          </w:p>
        </w:tc>
        <w:tc>
          <w:tcPr>
            <w:tcW w:type="dxa" w:w="416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Zoning, parks, historic districts</w:t>
            </w:r>
          </w:p>
        </w:tc>
        <w:tc>
          <w:tcPr>
            <w:tcW w:type="dxa" w:w="2000"/>
            <w:tcBorders>
              <w:top w:val="single" w:color="D1D5DB" w:sz="1"/>
              <w:left w:val="none" w:color="FFFFFF" w:sz="0"/>
              <w:bottom w:val="none" w:color="FFFFFF" w:sz="0"/>
              <w:right w:val="none" w:color="FFFFFF" w:sz="0"/>
            </w:tcBorders>
            <w:shd w:fill="FFFFFF"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6B7280"/>
                <w:sz w:val="17"/>
                <w:szCs w:val="17"/>
              </w:rPr>
              <w:t xml:space="preserve">Live city API</w:t>
            </w:r>
          </w:p>
        </w:tc>
      </w:tr>
      <w:tr>
        <w:tc>
          <w:tcPr>
            <w:tcW w:type="dxa" w:w="2800"/>
            <w:tcBorders>
              <w:top w:val="single" w:color="D1D5DB" w:sz="1"/>
              <w:left w:val="none" w:color="FFFFFF" w:sz="0"/>
              <w:bottom w:val="none" w:color="FFFFFF" w:sz="0"/>
              <w:right w:val="none" w:color="FFFFFF" w:sz="0"/>
            </w:tcBorders>
            <w:shd w:fill="FFFFFF" w:val="clear"/>
            <w:tcMar>
              <w:top w:type="dxa" w:w="60"/>
              <w:left w:type="dxa" w:w="10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USDA Food Access Atlas</w:t>
            </w:r>
          </w:p>
        </w:tc>
        <w:tc>
          <w:tcPr>
            <w:tcW w:type="dxa" w:w="4160"/>
            <w:tcBorders>
              <w:top w:val="single" w:color="D1D5DB" w:sz="1"/>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0" w:before="0"/>
              <w:jc w:val="left"/>
            </w:pPr>
            <w:r>
              <w:rPr>
                <w:rFonts w:ascii="Arial" w:cs="Arial" w:eastAsia="Arial" w:hAnsi="Arial"/>
                <w:b w:val="false"/>
                <w:bCs w:val="false"/>
                <w:color w:val="111827"/>
                <w:sz w:val="18"/>
                <w:szCs w:val="18"/>
              </w:rPr>
              <w:t xml:space="preserve">Food desert designations by tract</w:t>
            </w:r>
          </w:p>
        </w:tc>
        <w:tc>
          <w:tcPr>
            <w:tcW w:type="dxa" w:w="2000"/>
            <w:tcBorders>
              <w:top w:val="single" w:color="D1D5DB" w:sz="1"/>
              <w:left w:val="none" w:color="FFFFFF" w:sz="0"/>
              <w:bottom w:val="none" w:color="FFFFFF" w:sz="0"/>
              <w:right w:val="none" w:color="FFFFFF" w:sz="0"/>
            </w:tcBorders>
            <w:shd w:fill="FFFFFF" w:val="clear"/>
            <w:tcMar>
              <w:top w:type="dxa" w:w="60"/>
              <w:left w:type="dxa" w:w="80"/>
              <w:bottom w:type="dxa" w:w="60"/>
              <w:right w:type="dxa" w:w="100"/>
            </w:tcMar>
            <w:vAlign w:val="top"/>
          </w:tcPr>
          <w:p>
            <w:pPr>
              <w:spacing w:after="0" w:before="0"/>
              <w:jc w:val="left"/>
            </w:pPr>
            <w:r>
              <w:rPr>
                <w:rFonts w:ascii="Arial" w:cs="Arial" w:eastAsia="Arial" w:hAnsi="Arial"/>
                <w:b w:val="false"/>
                <w:bCs w:val="false"/>
                <w:color w:val="6B7280"/>
                <w:sz w:val="17"/>
                <w:szCs w:val="17"/>
              </w:rPr>
              <w:t xml:space="preserve">2019 vintage</w:t>
            </w:r>
          </w:p>
        </w:tc>
      </w:tr>
    </w:tbl>
    <w:p>
      <w:pPr>
        <w:spacing w:after="0" w:before="120"/>
        <w:jc w:val="left"/>
      </w:pPr>
    </w:p>
    <w:tbl>
      <w:tblPr>
        <w:tblW w:type="dxa" w:w="9960"/>
        <w:tblBorders>
          <w:top w:val="none" w:color="FFFFFF" w:sz="0"/>
          <w:left w:val="none" w:color="FFFFFF" w:sz="0"/>
          <w:bottom w:val="none" w:color="FFFFFF" w:sz="0"/>
          <w:right w:val="none" w:color="FFFFFF" w:sz="0"/>
          <w:insideH w:val="single" w:color="auto" w:sz="4"/>
          <w:insideV w:val="single" w:color="auto" w:sz="4"/>
        </w:tblBorders>
      </w:tblPr>
      <w:tblGrid>
        <w:gridCol w:w="4680"/>
        <w:gridCol w:w="200"/>
        <w:gridCol w:w="5080"/>
      </w:tblGrid>
      <w:tr>
        <w:tc>
          <w:tcPr>
            <w:tcW w:type="dxa" w:w="4680"/>
            <w:tcBorders>
              <w:top w:val="none" w:color="FFFFFF" w:sz="0"/>
              <w:left w:val="none" w:color="FFFFFF" w:sz="0"/>
              <w:bottom w:val="none" w:color="FFFFFF" w:sz="0"/>
              <w:right w:val="single" w:color="D1D5DB" w:sz="1"/>
            </w:tcBorders>
            <w:shd w:fill="FFFFFF" w:val="clear"/>
            <w:tcMar>
              <w:top w:type="dxa" w:w="0"/>
              <w:left w:type="dxa" w:w="0"/>
              <w:bottom w:type="dxa" w:w="0"/>
              <w:right w:type="dxa" w:w="180"/>
            </w:tcMar>
            <w:vAlign w:val="top"/>
          </w:tcPr>
          <w:p>
            <w:pPr>
              <w:spacing w:after="40" w:before="120"/>
              <w:jc w:val="left"/>
            </w:pPr>
            <w:r>
              <w:rPr>
                <w:rFonts w:ascii="Arial" w:cs="Arial" w:eastAsia="Arial" w:hAnsi="Arial"/>
                <w:b/>
                <w:bCs/>
                <w:color w:val="1B3A5C"/>
                <w:sz w:val="16"/>
                <w:szCs w:val="16"/>
              </w:rPr>
              <w:t xml:space="preserve">A NOTE ON METHODOLOGY</w:t>
            </w:r>
          </w:p>
          <w:p>
            <w:pPr>
              <w:spacing w:after="80" w:before="0"/>
              <w:jc w:val="left"/>
            </w:pPr>
            <w:r>
              <w:rPr>
                <w:rFonts w:ascii="Arial" w:cs="Arial" w:eastAsia="Arial" w:hAnsi="Arial"/>
                <w:b w:val="false"/>
                <w:bCs w:val="false"/>
                <w:color w:val="111827"/>
                <w:sz w:val="18"/>
                <w:szCs w:val="18"/>
              </w:rPr>
              <w:t xml:space="preserve">This platform is designed for </w:t>
            </w:r>
            <w:r>
              <w:rPr>
                <w:rFonts w:ascii="Arial" w:cs="Arial" w:eastAsia="Arial" w:hAnsi="Arial"/>
                <w:b/>
                <w:bCs/>
                <w:color w:val="1B3A5C"/>
                <w:sz w:val="18"/>
                <w:szCs w:val="18"/>
              </w:rPr>
              <w:t xml:space="preserve">population-level understanding</w:t>
            </w:r>
            <w:r>
              <w:rPr>
                <w:rFonts w:ascii="Arial" w:cs="Arial" w:eastAsia="Arial" w:hAnsi="Arial"/>
                <w:b w:val="false"/>
                <w:bCs w:val="false"/>
                <w:color w:val="111827"/>
                <w:sz w:val="18"/>
                <w:szCs w:val="18"/>
              </w:rPr>
              <w:t xml:space="preserve">, not individual clinical assessment. Neighborhood patterns reflect aggregate data — they describe structural conditions, not individual patients. Using this tool to inform assumptions about a specific person would be a misuse.</w:t>
            </w:r>
          </w:p>
          <w:p>
            <w:pPr>
              <w:spacing w:after="80" w:before="0"/>
              <w:jc w:val="left"/>
            </w:pPr>
            <w:r>
              <w:rPr>
                <w:rFonts w:ascii="Arial" w:cs="Arial" w:eastAsia="Arial" w:hAnsi="Arial"/>
                <w:b w:val="false"/>
                <w:bCs w:val="false"/>
                <w:color w:val="111827"/>
                <w:sz w:val="18"/>
                <w:szCs w:val="18"/>
              </w:rPr>
              <w:t xml:space="preserve">We distinguish between </w:t>
            </w:r>
            <w:r>
              <w:rPr>
                <w:rFonts w:ascii="Arial" w:cs="Arial" w:eastAsia="Arial" w:hAnsi="Arial"/>
                <w:b/>
                <w:bCs/>
                <w:color w:val="0F766E"/>
                <w:sz w:val="18"/>
                <w:szCs w:val="18"/>
              </w:rPr>
              <w:t xml:space="preserve">measured data</w:t>
            </w:r>
            <w:r>
              <w:rPr>
                <w:rFonts w:ascii="Arial" w:cs="Arial" w:eastAsia="Arial" w:hAnsi="Arial"/>
                <w:b w:val="false"/>
                <w:bCs w:val="false"/>
                <w:color w:val="111827"/>
                <w:sz w:val="18"/>
                <w:szCs w:val="18"/>
              </w:rPr>
              <w:t xml:space="preserve"> (primary sources like Census ACS and GCWW lead inventory) and </w:t>
            </w:r>
            <w:r>
              <w:rPr>
                <w:rFonts w:ascii="Arial" w:cs="Arial" w:eastAsia="Arial" w:hAnsi="Arial"/>
                <w:b/>
                <w:bCs/>
                <w:color w:val="D97706"/>
                <w:sz w:val="18"/>
                <w:szCs w:val="18"/>
              </w:rPr>
              <w:t xml:space="preserve">modeled estimates</w:t>
            </w:r>
            <w:r>
              <w:rPr>
                <w:rFonts w:ascii="Arial" w:cs="Arial" w:eastAsia="Arial" w:hAnsi="Arial"/>
                <w:b w:val="false"/>
                <w:bCs w:val="false"/>
                <w:color w:val="111827"/>
                <w:sz w:val="18"/>
                <w:szCs w:val="18"/>
              </w:rPr>
              <w:t xml:space="preserve"> (such as statewide tax incidence applied as a local proxy). Both are labeled in the interface.</w:t>
            </w:r>
          </w:p>
          <w:p>
            <w:pPr>
              <w:spacing w:after="0" w:before="0"/>
              <w:jc w:val="left"/>
            </w:pPr>
            <w:r>
              <w:rPr>
                <w:rFonts w:ascii="Arial" w:cs="Arial" w:eastAsia="Arial" w:hAnsi="Arial"/>
                <w:b w:val="false"/>
                <w:bCs w:val="false"/>
                <w:color w:val="111827"/>
                <w:sz w:val="18"/>
                <w:szCs w:val="18"/>
              </w:rPr>
              <w:t xml:space="preserve">All data vintages are disclosed in the UI and on our public Limitations &amp; Methodology page. Known gaps — including neighborhood boundary ambiguity, offline federal APIs, and incomplete data for some neighborhoods — are documented there.</w:t>
            </w:r>
          </w:p>
        </w:tc>
        <w:tc>
          <w:tcPr>
            <w:tcW w:type="dxa" w:w="2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vAlign w:val="top"/>
          </w:tcPr>
          <w:p/>
        </w:tc>
        <w:tc>
          <w:tcPr>
            <w:tcW w:type="dxa" w:w="5080"/>
            <w:tcBorders>
              <w:top w:val="none" w:color="FFFFFF" w:sz="0"/>
              <w:left w:val="none" w:color="FFFFFF" w:sz="0"/>
              <w:bottom w:val="none" w:color="FFFFFF" w:sz="0"/>
              <w:right w:val="none" w:color="FFFFFF" w:sz="0"/>
            </w:tcBorders>
            <w:shd w:fill="FFFFFF" w:val="clear"/>
            <w:tcMar>
              <w:top w:type="dxa" w:w="0"/>
              <w:left w:type="dxa" w:w="180"/>
              <w:bottom w:type="dxa" w:w="0"/>
              <w:right w:type="dxa" w:w="0"/>
            </w:tcMar>
            <w:vAlign w:val="top"/>
          </w:tcPr>
          <w:p>
            <w:pPr>
              <w:spacing w:after="40" w:before="120"/>
              <w:jc w:val="left"/>
            </w:pPr>
            <w:r>
              <w:rPr>
                <w:rFonts w:ascii="Arial" w:cs="Arial" w:eastAsia="Arial" w:hAnsi="Arial"/>
                <w:b/>
                <w:bCs/>
                <w:color w:val="1B3A5C"/>
                <w:sz w:val="16"/>
                <w:szCs w:val="16"/>
              </w:rPr>
              <w:t xml:space="preserve">WHAT’S NEXT</w:t>
            </w:r>
          </w:p>
          <w:p>
            <w:pPr>
              <w:spacing w:after="40" w:before="0"/>
              <w:jc w:val="left"/>
            </w:pPr>
            <w:r>
              <w:rPr>
                <w:rFonts w:ascii="Arial" w:cs="Arial" w:eastAsia="Arial" w:hAnsi="Arial"/>
                <w:b w:val="false"/>
                <w:bCs w:val="false"/>
                <w:color w:val="6B7280"/>
                <w:sz w:val="17"/>
                <w:szCs w:val="17"/>
              </w:rPr>
              <w:t xml:space="preserve">Features in active development:</w:t>
            </w:r>
          </w:p>
          <w:p>
            <w:pPr>
              <w:spacing w:after="40" w:before="0"/>
              <w:jc w:val="left"/>
            </w:pPr>
            <w:r>
              <w:rPr>
                <w:rFonts w:ascii="Arial" w:cs="Arial" w:eastAsia="Arial" w:hAnsi="Arial"/>
                <w:b/>
                <w:bCs/>
                <w:color w:val="1B3A5C"/>
                <w:sz w:val="18"/>
                <w:szCs w:val="18"/>
              </w:rPr>
              <w:t xml:space="preserve">→  </w:t>
            </w:r>
            <w:r>
              <w:rPr>
                <w:rFonts w:ascii="Arial" w:cs="Arial" w:eastAsia="Arial" w:hAnsi="Arial"/>
                <w:b/>
                <w:bCs/>
                <w:color w:val="1B3A5C"/>
                <w:sz w:val="18"/>
                <w:szCs w:val="18"/>
              </w:rPr>
              <w:t xml:space="preserve">Improved AI summaries</w:t>
            </w:r>
            <w:r>
              <w:rPr>
                <w:rFonts w:ascii="Arial" w:cs="Arial" w:eastAsia="Arial" w:hAnsi="Arial"/>
                <w:b w:val="false"/>
                <w:bCs w:val="false"/>
                <w:color w:val="111827"/>
                <w:sz w:val="18"/>
                <w:szCs w:val="18"/>
              </w:rPr>
              <w:t xml:space="preserve"> — plain-language address reports for residents and students</w:t>
            </w:r>
          </w:p>
          <w:p>
            <w:pPr>
              <w:spacing w:after="40" w:before="0"/>
              <w:jc w:val="left"/>
            </w:pPr>
            <w:r>
              <w:rPr>
                <w:rFonts w:ascii="Arial" w:cs="Arial" w:eastAsia="Arial" w:hAnsi="Arial"/>
                <w:b/>
                <w:bCs/>
                <w:color w:val="1B3A5C"/>
                <w:sz w:val="18"/>
                <w:szCs w:val="18"/>
              </w:rPr>
              <w:t xml:space="preserve">→  </w:t>
            </w:r>
            <w:r>
              <w:rPr>
                <w:rFonts w:ascii="Arial" w:cs="Arial" w:eastAsia="Arial" w:hAnsi="Arial"/>
                <w:b/>
                <w:bCs/>
                <w:color w:val="1B3A5C"/>
                <w:sz w:val="18"/>
                <w:szCs w:val="18"/>
              </w:rPr>
              <w:t xml:space="preserve">Eviction data</w:t>
            </w:r>
            <w:r>
              <w:rPr>
                <w:rFonts w:ascii="Arial" w:cs="Arial" w:eastAsia="Arial" w:hAnsi="Arial"/>
                <w:b w:val="false"/>
                <w:bCs w:val="false"/>
                <w:color w:val="111827"/>
                <w:sz w:val="18"/>
                <w:szCs w:val="18"/>
              </w:rPr>
              <w:t xml:space="preserve"> — in partnership with Legal Aid Society</w:t>
            </w:r>
          </w:p>
          <w:p>
            <w:pPr>
              <w:spacing w:after="40" w:before="0"/>
              <w:jc w:val="left"/>
            </w:pPr>
            <w:r>
              <w:rPr>
                <w:rFonts w:ascii="Arial" w:cs="Arial" w:eastAsia="Arial" w:hAnsi="Arial"/>
                <w:b/>
                <w:bCs/>
                <w:color w:val="1B3A5C"/>
                <w:sz w:val="18"/>
                <w:szCs w:val="18"/>
              </w:rPr>
              <w:t xml:space="preserve">→  </w:t>
            </w:r>
            <w:r>
              <w:rPr>
                <w:rFonts w:ascii="Arial" w:cs="Arial" w:eastAsia="Arial" w:hAnsi="Arial"/>
                <w:b/>
                <w:bCs/>
                <w:color w:val="1B3A5C"/>
                <w:sz w:val="18"/>
                <w:szCs w:val="18"/>
              </w:rPr>
              <w:t xml:space="preserve">Flood infrastructure context</w:t>
            </w:r>
            <w:r>
              <w:rPr>
                <w:rFonts w:ascii="Arial" w:cs="Arial" w:eastAsia="Arial" w:hAnsi="Arial"/>
                <w:b w:val="false"/>
                <w:bCs w:val="false"/>
                <w:color w:val="111827"/>
                <w:sz w:val="18"/>
                <w:szCs w:val="18"/>
              </w:rPr>
              <w:t xml:space="preserve"> — Mill Creek corridor and city infrastructure</w:t>
            </w:r>
          </w:p>
          <w:p>
            <w:pPr>
              <w:spacing w:after="40" w:before="0"/>
              <w:jc w:val="left"/>
            </w:pPr>
            <w:r>
              <w:rPr>
                <w:rFonts w:ascii="Arial" w:cs="Arial" w:eastAsia="Arial" w:hAnsi="Arial"/>
                <w:b/>
                <w:bCs/>
                <w:color w:val="1B3A5C"/>
                <w:sz w:val="18"/>
                <w:szCs w:val="18"/>
              </w:rPr>
              <w:t xml:space="preserve">→  </w:t>
            </w:r>
            <w:r>
              <w:rPr>
                <w:rFonts w:ascii="Arial" w:cs="Arial" w:eastAsia="Arial" w:hAnsi="Arial"/>
                <w:b/>
                <w:bCs/>
                <w:color w:val="1B3A5C"/>
                <w:sz w:val="18"/>
                <w:szCs w:val="18"/>
              </w:rPr>
              <w:t xml:space="preserve">Tax expenditure data</w:t>
            </w:r>
            <w:r>
              <w:rPr>
                <w:rFonts w:ascii="Arial" w:cs="Arial" w:eastAsia="Arial" w:hAnsi="Arial"/>
                <w:b w:val="false"/>
                <w:bCs w:val="false"/>
                <w:color w:val="111827"/>
                <w:sz w:val="18"/>
                <w:szCs w:val="18"/>
              </w:rPr>
              <w:t xml:space="preserve"> — City general fund spending by category and neighborhood</w:t>
            </w:r>
          </w:p>
          <w:p>
            <w:pPr>
              <w:spacing w:after="80" w:before="0"/>
              <w:jc w:val="left"/>
            </w:pPr>
            <w:r>
              <w:rPr>
                <w:rFonts w:ascii="Arial" w:cs="Arial" w:eastAsia="Arial" w:hAnsi="Arial"/>
                <w:b/>
                <w:bCs/>
                <w:color w:val="1B3A5C"/>
                <w:sz w:val="18"/>
                <w:szCs w:val="18"/>
              </w:rPr>
              <w:t xml:space="preserve">→  </w:t>
            </w:r>
            <w:r>
              <w:rPr>
                <w:rFonts w:ascii="Arial" w:cs="Arial" w:eastAsia="Arial" w:hAnsi="Arial"/>
                <w:b/>
                <w:bCs/>
                <w:color w:val="1B3A5C"/>
                <w:sz w:val="18"/>
                <w:szCs w:val="18"/>
              </w:rPr>
              <w:t xml:space="preserve">Stable hosting and domain</w:t>
            </w:r>
            <w:r>
              <w:rPr>
                <w:rFonts w:ascii="Arial" w:cs="Arial" w:eastAsia="Arial" w:hAnsi="Arial"/>
                <w:b w:val="false"/>
                <w:bCs w:val="false"/>
                <w:color w:val="111827"/>
                <w:sz w:val="18"/>
                <w:szCs w:val="18"/>
              </w:rPr>
              <w:t xml:space="preserve"> — currently on Vercel free tier; custom domain pending</w:t>
            </w:r>
          </w:p>
          <w:p>
            <w:pPr>
              <w:pBdr>
                <w:bottom w:val="single" w:color="D1D5DB" w:sz="2"/>
              </w:pBdr>
              <w:spacing w:after="80" w:before="80"/>
              <w:jc w:val="left"/>
            </w:pPr>
          </w:p>
          <w:p>
            <w:pPr>
              <w:spacing w:after="0" w:before="80"/>
              <w:jc w:val="left"/>
            </w:pPr>
          </w:p>
          <w:p>
            <w:pPr>
              <w:spacing w:after="40" w:before="0"/>
              <w:jc w:val="left"/>
            </w:pPr>
            <w:r>
              <w:rPr>
                <w:rFonts w:ascii="Arial" w:cs="Arial" w:eastAsia="Arial" w:hAnsi="Arial"/>
                <w:b/>
                <w:bCs/>
                <w:color w:val="1B3A5C"/>
                <w:sz w:val="19"/>
                <w:szCs w:val="19"/>
              </w:rPr>
              <w:t xml:space="preserve">Interested in collaborating?</w:t>
            </w:r>
          </w:p>
          <w:p>
            <w:pPr>
              <w:spacing w:after="60" w:before="0"/>
              <w:jc w:val="left"/>
            </w:pPr>
            <w:r>
              <w:rPr>
                <w:rFonts w:ascii="Arial" w:cs="Arial" w:eastAsia="Arial" w:hAnsi="Arial"/>
                <w:b w:val="false"/>
                <w:bCs w:val="false"/>
                <w:color w:val="111827"/>
                <w:sz w:val="18"/>
                <w:szCs w:val="18"/>
              </w:rPr>
              <w:t xml:space="preserve">We’re exploring curriculum partnerships, research data use, and co-development of SDOH teaching resources. If you see a use for this in your program, we’d like to hear about it.</w:t>
            </w:r>
          </w:p>
          <w:p>
            <w:pPr>
              <w:spacing w:after="0" w:before="0"/>
              <w:jc w:val="left"/>
            </w:pPr>
            <w:r>
              <w:rPr>
                <w:rFonts w:ascii="Arial" w:cs="Arial" w:eastAsia="Arial" w:hAnsi="Arial"/>
                <w:b/>
                <w:bCs/>
                <w:color w:val="0F766E"/>
                <w:sz w:val="18"/>
                <w:szCs w:val="18"/>
              </w:rPr>
              <w:t xml:space="preserve">chanfriendly@gmail.com</w:t>
            </w:r>
          </w:p>
        </w:tc>
      </w:tr>
    </w:tbl>
    <w:p>
      <w:pPr>
        <w:spacing w:after="0" w:before="100"/>
        <w:jc w:val="left"/>
      </w:pPr>
    </w:p>
    <w:p>
      <w:pPr>
        <w:pBdr>
          <w:bottom w:val="single" w:color="1B3A5C" w:sz="2"/>
        </w:pBdr>
        <w:spacing w:after="80" w:before="80"/>
        <w:jc w:val="left"/>
      </w:pPr>
    </w:p>
    <w:p>
      <w:pPr>
        <w:spacing w:after="0" w:before="60"/>
        <w:jc w:val="left"/>
      </w:pPr>
    </w:p>
    <w:tbl>
      <w:tblPr>
        <w:tblW w:type="dxa" w:w="9960"/>
        <w:tblBorders>
          <w:top w:val="none" w:color="FFFFFF" w:sz="0"/>
          <w:left w:val="none" w:color="FFFFFF" w:sz="0"/>
          <w:bottom w:val="none" w:color="FFFFFF" w:sz="0"/>
          <w:right w:val="none" w:color="FFFFFF" w:sz="0"/>
          <w:insideH w:val="single" w:color="auto" w:sz="4"/>
          <w:insideV w:val="single" w:color="auto" w:sz="4"/>
        </w:tblBorders>
      </w:tblPr>
      <w:tblGrid>
        <w:gridCol w:w="6480"/>
        <w:gridCol w:w="3480"/>
      </w:tblGrid>
      <w:tr>
        <w:tc>
          <w:tcPr>
            <w:tcW w:type="dxa" w:w="648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0" w:before="0"/>
              <w:jc w:val="left"/>
            </w:pPr>
            <w:r>
              <w:rPr>
                <w:rFonts w:ascii="Arial" w:cs="Arial" w:eastAsia="Arial" w:hAnsi="Arial"/>
                <w:b w:val="false"/>
                <w:bCs w:val="false"/>
                <w:color w:val="6B7280"/>
                <w:sz w:val="15"/>
                <w:szCs w:val="15"/>
              </w:rPr>
              <w:t xml:space="preserve">Open source • Built with React, TypeScript, and public data APIs • Deployed on Vercel</w:t>
            </w:r>
          </w:p>
        </w:tc>
        <w:tc>
          <w:tcPr>
            <w:tcW w:type="dxa" w:w="348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0" w:before="0"/>
              <w:jc w:val="right"/>
            </w:pPr>
            <w:r>
              <w:rPr>
                <w:rFonts w:ascii="Arial" w:cs="Arial" w:eastAsia="Arial" w:hAnsi="Arial"/>
                <w:b/>
                <w:bCs/>
                <w:color w:val="1B3A5C"/>
                <w:sz w:val="16"/>
                <w:szCs w:val="16"/>
              </w:rPr>
              <w:t xml:space="preserve">cincinnati-civic-data.vercel.app</w:t>
            </w:r>
          </w:p>
        </w:tc>
      </w:tr>
    </w:tbl>
    <w:sectPr>
      <w:footerReference w:type="default" r:id="rId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after="60" w:before="0"/>
      <w:jc w:val="center"/>
    </w:pPr>
    <w:r>
      <w:rPr>
        <w:rFonts w:ascii="Arial" w:cs="Arial" w:eastAsia="Arial" w:hAnsi="Arial"/>
        <w:b w:val="false"/>
        <w:bCs w:val="false"/>
        <w:color w:val="D1D5DB"/>
        <w:sz w:val="15"/>
        <w:szCs w:val="15"/>
      </w:rPr>
      <w:t xml:space="preserve">cincinnati-civic-data.vercel.app  —  Public resource for residents, advocates, educators, and journalists  —  Page </w:t>
    </w:r>
    <w:r>
      <w:rPr>
        <w:rFonts w:ascii="Arial" w:cs="Arial" w:eastAsia="Arial" w:hAnsi="Arial"/>
        <w:color w:val="D1D5D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2026-04-19T13:13:35.700Z</dcterms:created>
  <dcterms:modified xsi:type="dcterms:W3CDTF">2026-04-19T13:13:35.701Z</dcterms:modified>
</cp:coreProperties>
</file>

<file path=docProps/custom.xml><?xml version="1.0" encoding="utf-8"?>
<Properties xmlns="http://schemas.openxmlformats.org/officeDocument/2006/custom-properties" xmlns:vt="http://schemas.openxmlformats.org/officeDocument/2006/docPropsVTypes"/>
</file>