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i w:val="false"/>
          <w:iCs w:val="false"/>
          <w:color w:val="1B3A5C"/>
          <w:sz w:val="52"/>
          <w:szCs w:val="52"/>
        </w:rPr>
        <w:t xml:space="preserve">Background Primer</w:t>
      </w:r>
    </w:p>
    <w:p>
      <w:pPr>
        <w:spacing w:after="20" w:before="0"/>
        <w:jc w:val="left"/>
      </w:pPr>
      <w:r>
        <w:rPr>
          <w:rFonts w:ascii="Arial" w:cs="Arial" w:eastAsia="Arial" w:hAnsi="Arial"/>
          <w:b w:val="false"/>
          <w:bCs w:val="false"/>
          <w:i w:val="false"/>
          <w:iCs w:val="false"/>
          <w:color w:val="374151"/>
          <w:sz w:val="26"/>
          <w:szCs w:val="26"/>
        </w:rPr>
        <w:t xml:space="preserve">UC College of Nursing Meeting — Know What You're Talking About</w:t>
      </w:r>
    </w:p>
    <w:p>
      <w:pPr>
        <w:spacing w:after="200" w:before="0"/>
        <w:jc w:val="left"/>
      </w:pPr>
      <w:r>
        <w:rPr>
          <w:rFonts w:ascii="Arial" w:cs="Arial" w:eastAsia="Arial" w:hAnsi="Arial"/>
          <w:b w:val="false"/>
          <w:bCs w:val="false"/>
          <w:i/>
          <w:iCs/>
          <w:color w:val="AAAAAA"/>
          <w:sz w:val="19"/>
          <w:szCs w:val="19"/>
        </w:rPr>
        <w:t xml:space="preserve">Personal reference  ·  Not for distribution</w:t>
      </w:r>
    </w:p>
    <w:p>
      <w:pPr>
        <w:spacing w:after="60" w:before="0"/>
        <w:jc w:val="left"/>
      </w:pPr>
      <w:r>
        <w:rPr>
          <w:rFonts w:ascii="Arial" w:cs="Arial" w:eastAsia="Arial" w:hAnsi="Arial"/>
          <w:b w:val="false"/>
          <w:bCs w:val="false"/>
          <w:i w:val="false"/>
          <w:iCs w:val="false"/>
          <w:color w:val="374151"/>
          <w:sz w:val="21"/>
          <w:szCs w:val="21"/>
        </w:rPr>
        <w:t xml:space="preserve">This document exists because you're walking into a conversation loaded with terminology that faculty use every day but that's completely opaque from the outside. You don't need to become an expert. You need to recognize these words when you hear them, understand roughly what they mean, and know how they connect to your work. That's what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660" w:sz="20"/>
              <w:bottom w:val="none" w:color="FFFFFF" w:sz="0"/>
              <w:right w:val="none" w:color="FFFFFF" w:sz="0"/>
            </w:tcBorders>
            <w:shd w:fill="F0FDFA" w:val="clear"/>
            <w:tcMar>
              <w:top w:type="dxa" w:w="100"/>
              <w:left w:type="dxa" w:w="180"/>
              <w:bottom w:type="dxa" w:w="100"/>
              <w:right w:type="dxa" w:w="160"/>
            </w:tcMar>
          </w:tcPr>
          <w:p>
            <w:pPr>
              <w:spacing w:after="60" w:before="0"/>
              <w:jc w:val="left"/>
            </w:pPr>
            <w:r>
              <w:rPr>
                <w:rFonts w:ascii="Arial" w:cs="Arial" w:eastAsia="Arial" w:hAnsi="Arial"/>
                <w:b/>
                <w:bCs/>
                <w:i w:val="false"/>
                <w:iCs w:val="false"/>
                <w:color w:val="0D6660"/>
                <w:sz w:val="21"/>
                <w:szCs w:val="21"/>
              </w:rPr>
              <w:t xml:space="preserve">🎯  How to use this</w:t>
            </w:r>
          </w:p>
          <w:p>
            <w:pPr>
              <w:spacing w:after="40" w:before="0"/>
              <w:jc w:val="left"/>
            </w:pPr>
            <w:r>
              <w:rPr>
                <w:rFonts w:ascii="Arial" w:cs="Arial" w:eastAsia="Arial" w:hAnsi="Arial"/>
                <w:b w:val="false"/>
                <w:bCs w:val="false"/>
                <w:i w:val="false"/>
                <w:iCs w:val="false"/>
                <w:color w:val="374151"/>
                <w:sz w:val="20"/>
                <w:szCs w:val="20"/>
              </w:rPr>
              <w:t xml:space="preserve">Read it once before the meeting — you don't need to memorize it.</w:t>
            </w:r>
          </w:p>
          <w:p>
            <w:pPr>
              <w:spacing w:after="40" w:before="0"/>
              <w:jc w:val="left"/>
            </w:pPr>
            <w:r>
              <w:rPr>
                <w:rFonts w:ascii="Arial" w:cs="Arial" w:eastAsia="Arial" w:hAnsi="Arial"/>
                <w:b w:val="false"/>
                <w:bCs w:val="false"/>
                <w:i w:val="false"/>
                <w:iCs w:val="false"/>
                <w:color w:val="374151"/>
                <w:sz w:val="20"/>
                <w:szCs w:val="20"/>
              </w:rPr>
              <w:t xml:space="preserve">When someone uses a term and you're not sure you heard it right, this is the thing to glance back at.</w:t>
            </w:r>
          </w:p>
          <w:p>
            <w:pPr>
              <w:spacing w:after="40" w:before="0"/>
              <w:jc w:val="left"/>
            </w:pPr>
            <w:r>
              <w:rPr>
                <w:rFonts w:ascii="Arial" w:cs="Arial" w:eastAsia="Arial" w:hAnsi="Arial"/>
                <w:b w:val="false"/>
                <w:bCs w:val="false"/>
                <w:i w:val="false"/>
                <w:iCs w:val="false"/>
                <w:color w:val="374151"/>
                <w:sz w:val="20"/>
                <w:szCs w:val="20"/>
              </w:rPr>
              <w:t xml:space="preserve">The "Why it matters to you" lines are the only part that's actually important.</w:t>
            </w:r>
          </w:p>
        </w:tc>
      </w:tr>
    </w:tbl>
    <w:p>
      <w:pPr>
        <w:spacing w:after="0" w:before="200"/>
        <w:jc w:val="left"/>
      </w:pPr>
    </w:p>
    <w:p>
      <w:pPr>
        <w:pBdr>
          <w:bottom w:val="single" w:color="1B3A5C" w:sz="4" w:space="4"/>
        </w:pBdr>
        <w:spacing w:after="60" w:before="300"/>
        <w:jc w:val="left"/>
      </w:pPr>
      <w:r>
        <w:rPr>
          <w:rFonts w:ascii="Arial" w:cs="Arial" w:eastAsia="Arial" w:hAnsi="Arial"/>
          <w:b/>
          <w:bCs/>
          <w:i w:val="false"/>
          <w:iCs w:val="false"/>
          <w:color w:val="1B3A5C"/>
          <w:sz w:val="26"/>
          <w:szCs w:val="26"/>
        </w:rPr>
        <w:t xml:space="preserve">1.  The Nursing World</w:t>
      </w:r>
    </w:p>
    <w:p>
      <w:pPr>
        <w:spacing w:after="120" w:before="0"/>
        <w:jc w:val="left"/>
      </w:pPr>
      <w:r>
        <w:rPr>
          <w:rFonts w:ascii="Arial" w:cs="Arial" w:eastAsia="Arial" w:hAnsi="Arial"/>
          <w:b w:val="false"/>
          <w:bCs w:val="false"/>
          <w:i w:val="false"/>
          <w:iCs w:val="false"/>
          <w:color w:val="374151"/>
          <w:sz w:val="21"/>
          <w:szCs w:val="21"/>
        </w:rPr>
        <w:t xml:space="preserve">Nursing education divides into clinical rotations (hospital, bedside) and community health rotations (out in the city). The UC College of Nursing runs both. The people you're meeting almost certainly work on the community health side — which is exactly where your platform is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SDOH</w:t>
            </w:r>
          </w:p>
          <w:p>
            <w:pPr>
              <w:spacing w:after="0" w:before="0"/>
              <w:jc w:val="left"/>
            </w:pPr>
            <w:r>
              <w:rPr>
                <w:rFonts w:ascii="Arial" w:cs="Arial" w:eastAsia="Arial" w:hAnsi="Arial"/>
                <w:b w:val="false"/>
                <w:bCs w:val="false"/>
                <w:i/>
                <w:iCs/>
                <w:color w:val="374151"/>
                <w:sz w:val="18"/>
                <w:szCs w:val="18"/>
              </w:rPr>
              <w:t xml:space="preserve">ess-doh  /  "Social Determinants of Health"</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conditions where people are born, live, work, age, and play — and how those conditions shape health outcomes. Think: is there a grocery store nearby? Is the housing stable? Is the air clean? Is there lead in the water? These factors often predict health more powerfully than individual behavior or genetics.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the entire conceptual frame for why your platform matters to them. When you show lead risk, racial income gaps, or transit access, you're showing SDOH data. Use the term naturally — it signals you've done your homework.</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Community Health Rotation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required part of nursing education where students leave the hospital and go into neighborhoods to understand the environment patients live in. Students might conduct assessments, visit community organizations, interview residents, or observe conditions.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the specific moment where your platform fits in. A student looking up a patient's address before a home visit is the use case you're building for.</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Windshield Survey</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classic community health nursing technique where a student literally drives or walks through a neighborhood and records what they observe: condition of housing, presence of parks or green space, access to transit, visible signs of poverty or safety concerns. It's qualitative — what you see — not quantitative.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Your platform replaces the parts of a windshield survey that don't require a physical visit. Instead of guessing about lead risk or transit access, a student can look it up in 30 seconds. When you say "this turns a windshield survey into quantitative data," you're speaking directly to something this audience has done and assigned.</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CHA</w:t>
            </w:r>
          </w:p>
          <w:p>
            <w:pPr>
              <w:spacing w:after="0" w:before="0"/>
              <w:jc w:val="left"/>
            </w:pPr>
            <w:r>
              <w:rPr>
                <w:rFonts w:ascii="Arial" w:cs="Arial" w:eastAsia="Arial" w:hAnsi="Arial"/>
                <w:b w:val="false"/>
                <w:bCs w:val="false"/>
                <w:i/>
                <w:iCs/>
                <w:color w:val="374151"/>
                <w:sz w:val="18"/>
                <w:szCs w:val="18"/>
              </w:rPr>
              <w:t xml:space="preserve">"Community Health Assessment"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structured evaluation of a community's health status, needs, and assets. Often conducted by students during rotations or by public health departments. Involves collecting data, identifying disparities, and recommending interventions.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Your platform gives students a head start on the data-collection part of a CHA. Worth mentioning if the phrase comes up.</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Home Visit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When a nursing student or nurse goes to a patient's home rather than seeing them in a clinic. Requires understanding the neighborhood context — safety, housing quality, nearby resources. High stakes because you're in someone's personal space.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The highest-value use case for your platform. A student who's looked up 1015 Rutledge Ave before they walk through the door arrives prepared, not surprised.</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CHW</w:t>
            </w:r>
          </w:p>
          <w:p>
            <w:pPr>
              <w:spacing w:after="0" w:before="0"/>
              <w:jc w:val="left"/>
            </w:pPr>
            <w:r>
              <w:rPr>
                <w:rFonts w:ascii="Arial" w:cs="Arial" w:eastAsia="Arial" w:hAnsi="Arial"/>
                <w:b w:val="false"/>
                <w:bCs w:val="false"/>
                <w:i/>
                <w:iCs/>
                <w:color w:val="374151"/>
                <w:sz w:val="18"/>
                <w:szCs w:val="18"/>
              </w:rPr>
              <w:t xml:space="preserve">"Community Health Worker"</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Lay health workers embedded in communities — usually residents themselves — who help connect people to health services, navigate systems, and provide health education. Often the bridge between clinical care and community life.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You'll see "CHWs" mentioned in grant language. If they mention CHW training, your platform is relevant there too.</w:t>
            </w:r>
          </w:p>
        </w:tc>
      </w:tr>
    </w:tbl>
    <w:p>
      <w:pPr>
        <w:spacing w:after="0" w:before="160"/>
        <w:jc w:val="left"/>
      </w:pPr>
    </w:p>
    <w:p>
      <w:pPr>
        <w:pBdr>
          <w:bottom w:val="single" w:color="1B3A5C" w:sz="4" w:space="4"/>
        </w:pBdr>
        <w:spacing w:after="60" w:before="300"/>
        <w:jc w:val="left"/>
      </w:pPr>
      <w:r>
        <w:rPr>
          <w:rFonts w:ascii="Arial" w:cs="Arial" w:eastAsia="Arial" w:hAnsi="Arial"/>
          <w:b/>
          <w:bCs/>
          <w:i w:val="false"/>
          <w:iCs w:val="false"/>
          <w:color w:val="1B3A5C"/>
          <w:sz w:val="26"/>
          <w:szCs w:val="26"/>
        </w:rPr>
        <w:t xml:space="preserve">2.  How Universities Actually Work</w:t>
      </w:r>
    </w:p>
    <w:p>
      <w:pPr>
        <w:spacing w:after="120" w:before="0"/>
        <w:jc w:val="left"/>
      </w:pPr>
      <w:r>
        <w:rPr>
          <w:rFonts w:ascii="Arial" w:cs="Arial" w:eastAsia="Arial" w:hAnsi="Arial"/>
          <w:b w:val="false"/>
          <w:bCs w:val="false"/>
          <w:i w:val="false"/>
          <w:iCs w:val="false"/>
          <w:color w:val="374151"/>
          <w:sz w:val="21"/>
          <w:szCs w:val="21"/>
        </w:rPr>
        <w:t xml:space="preserve">Universities operate on structures that feel bizarre from outside. Understanding the basics will help you follow what's being offered — and catch things that could affect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Faculty vs. Staff</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Faculty are professors — they teach, do research, and are the ones who write grants and have academic titles (Professor, Associate Professor, Assistant Professor). Staff are employees — they run operations, support programs, and work in administrative or technical roles. The distinction matters because their career incentives are completely different.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 college wants to hire you, it matters whether they see you as staff (stable, salaried) or as a research collaborator (project-based, potentially term-limited). Staff positions are more like corporate jobs. Research roles funded by grants can disappear when the grant ends.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PI</w:t>
            </w:r>
          </w:p>
          <w:p>
            <w:pPr>
              <w:spacing w:after="0" w:before="0"/>
              <w:jc w:val="left"/>
            </w:pPr>
            <w:r>
              <w:rPr>
                <w:rFonts w:ascii="Arial" w:cs="Arial" w:eastAsia="Arial" w:hAnsi="Arial"/>
                <w:b w:val="false"/>
                <w:bCs w:val="false"/>
                <w:i/>
                <w:iCs/>
                <w:color w:val="374151"/>
                <w:sz w:val="18"/>
                <w:szCs w:val="18"/>
              </w:rPr>
              <w:t xml:space="preserve">"Principal Investigator"</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faculty member who leads a research project and is legally and financially responsible for a grant. They submit the grant, manage the budget, and their name goes on the publications. In a partnership, they would be the person "in charge" academically.</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a collaboration materializes, you'd likely be a collaborator or subcontractor under a PI. You should know who the PI would be before signing anything — their research agenda will shape what the project becomes.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IRB</w:t>
            </w:r>
          </w:p>
          <w:p>
            <w:pPr>
              <w:spacing w:after="0" w:before="0"/>
              <w:jc w:val="left"/>
            </w:pPr>
            <w:r>
              <w:rPr>
                <w:rFonts w:ascii="Arial" w:cs="Arial" w:eastAsia="Arial" w:hAnsi="Arial"/>
                <w:b w:val="false"/>
                <w:bCs w:val="false"/>
                <w:i/>
                <w:iCs/>
                <w:color w:val="374151"/>
                <w:sz w:val="18"/>
                <w:szCs w:val="18"/>
              </w:rPr>
              <w:t xml:space="preserve">"Institutional Review Board"</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committee at the university that reviews research involving human subjects to make sure it's ethical. If you're doing user research — interviewing students about how they use the platform, collecting data about how nurses interact with it — you may need IRB approval before you can publish the findings.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propose doing research *with* your platform (not just using it), IRB approval is required. It's not scary — it's mostly paperwork — but it adds time and a faculty sponsor to the process.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Core Facility</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specialized research resource at a university that serves multiple faculty members across different projects and grants. Classic examples: a DNA sequencing lab, a statistics consulting center, an imaging facility. Core Facilities are funded by fees from multiple grants rather than one single grant — which makes them more stable.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the most valuable structural frame for your platform long-term. If multiple nursing faculty want to use your platform for different research projects, it could be positioned as a "Community Health Data Core." That framing creates a path to sustainable funding that doesn't disappear when one grant ends.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Tenure / Tenure Track</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Tenure is essentially permanent employment for faculty — very hard to lose once granted. Tenure-track faculty are working toward it and need publications and grants to get there. Tenured faculty have more security but also more institutional weight.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your contact is tenure-track, they're under pressure to publish and get grants. A collaboration that produces publishable findings is genuinely valuable to them. If they're tenured, they may have more freedom to take on projects out of interest. Neither is better — just different motivations.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Accreditation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Nursing programs are evaluated by external bodies (like ACEN or CCNE) that certify the curriculum meets professional standards. Accreditation visits happen periodically and can put real pressure on programs to demonstrate specific capabilities.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you hear "this would be good for accreditation," that's real institutional weight behind the interest — not just enthusiasm.</w:t>
            </w:r>
          </w:p>
        </w:tc>
      </w:tr>
    </w:tbl>
    <w:p>
      <w:pPr>
        <w:spacing w:after="0" w:before="160"/>
        <w:jc w:val="left"/>
      </w:pPr>
    </w:p>
    <w:p>
      <w:pPr>
        <w:pBdr>
          <w:bottom w:val="single" w:color="B45309" w:sz="4" w:space="4"/>
        </w:pBdr>
        <w:spacing w:after="60" w:before="300"/>
        <w:jc w:val="left"/>
      </w:pPr>
      <w:r>
        <w:rPr>
          <w:rFonts w:ascii="Arial" w:cs="Arial" w:eastAsia="Arial" w:hAnsi="Arial"/>
          <w:b/>
          <w:bCs/>
          <w:i w:val="false"/>
          <w:iCs w:val="false"/>
          <w:color w:val="B45309"/>
          <w:sz w:val="26"/>
          <w:szCs w:val="26"/>
        </w:rPr>
        <w:t xml:space="preserve">3.  Grants and Money</w:t>
      </w:r>
    </w:p>
    <w:p>
      <w:pPr>
        <w:spacing w:after="120" w:before="0"/>
        <w:jc w:val="left"/>
      </w:pPr>
      <w:r>
        <w:rPr>
          <w:rFonts w:ascii="Arial" w:cs="Arial" w:eastAsia="Arial" w:hAnsi="Arial"/>
          <w:b w:val="false"/>
          <w:bCs w:val="false"/>
          <w:i w:val="false"/>
          <w:iCs w:val="false"/>
          <w:color w:val="374151"/>
          <w:sz w:val="21"/>
          <w:szCs w:val="21"/>
        </w:rPr>
        <w:t xml:space="preserve">Academic funding works differently from corporate budgeting. Understanding the vocabulary will prevent you from agreeing to things that don't mean what you think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Grant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Money given by a funder (government agency, foundation, or corporation) to a university to conduct a specific project. Unlike a contract, a grant is not a purchase — the funder isn't buying a product. They're supporting work they believe in. The university (not the researcher personally) is usually the legal recipient.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a collaboration gets funded by a grant, the university controls the money — not you. This is why getting protection in writing (open source, right to continue, IP ownership) matters before any formal agreement.</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Direct Costs vs. Total Costs</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Direct costs are the money actually available for the project: salaries, equipment, travel, supplies. Total costs include direct costs PLUS indirect costs (see below). A grant with a $100,000 total budget may only have $50,000–$60,000 in direct costs.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Always ask which number they're quoting. "We're applying for a $100k grant" might mean only $50k is available for actual work. Ask: "Is that direct costs or total costs?"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F&amp;A Rate  (Indirect Costs)</w:t>
            </w:r>
          </w:p>
          <w:p>
            <w:pPr>
              <w:spacing w:after="0" w:before="0"/>
              <w:jc w:val="left"/>
            </w:pPr>
            <w:r>
              <w:rPr>
                <w:rFonts w:ascii="Arial" w:cs="Arial" w:eastAsia="Arial" w:hAnsi="Arial"/>
                <w:b w:val="false"/>
                <w:bCs w:val="false"/>
                <w:i/>
                <w:iCs/>
                <w:color w:val="374151"/>
                <w:sz w:val="18"/>
                <w:szCs w:val="18"/>
              </w:rPr>
              <w:t xml:space="preserve">"Facilities and Administrative Rate"</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percentage the university takes off the top of any grant for overhead: lights, buildings, HR, administration. UC's F&amp;A rate is typically 40–55%. This is non-negotiable — it's baked into the university's grant agreements. Some foundations cap or waive it, which is why foundation grants can be more efficient for small projects.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you hear a large grant number and wonder where all that money is going — this is part of the answer. It's not waste; it's how the university maintains the infrastructure that makes research possible. But it means the usable budget is always smaller than the headline number.</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Soft Money</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position funded entirely by grants rather than by permanent university budget lines. When the grant ends, the position can end. Common in research. The opposite is "hard money" — a permanent budget line that doesn't depend on external funding.</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offer you a position "on the grant," that's soft money. You'd have a job as long as the grant is funded — typically 2–5 years — and then need a new grant or a transition. Not inherently bad, but you should know this before accepting.</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Subcontract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When a university receives a grant and then formally pays another organization or individual to do part of the work. You would be a subcontractor if the college wins a grant and pays you through it while you remain independent.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probably the cleanest path for maintaining independence: the college is the PI and manages the grant, you're a named subcontractor doing defined technical work, you keep ownership of your code and platform.</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NINR</w:t>
            </w:r>
          </w:p>
          <w:p>
            <w:pPr>
              <w:spacing w:after="0" w:before="0"/>
              <w:jc w:val="left"/>
            </w:pPr>
            <w:r>
              <w:rPr>
                <w:rFonts w:ascii="Arial" w:cs="Arial" w:eastAsia="Arial" w:hAnsi="Arial"/>
                <w:b w:val="false"/>
                <w:bCs w:val="false"/>
                <w:i/>
                <w:iCs/>
                <w:color w:val="374151"/>
                <w:sz w:val="18"/>
                <w:szCs w:val="18"/>
              </w:rPr>
              <w:t xml:space="preserve">"National Institute of Nursing Research"</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NIH institute specifically focused on nursing and health science research. The primary federal funder for nursing research. Grants range from small pilots (~$250k) to multi-year R01s ($1–2M+). Highly competitive.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mention "applying for NINR funding," they're thinking big and long-term. That's a good sign for the seriousness of the interest, but federal grant timelines are 12–18 months from application to award.</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HRSA</w:t>
            </w:r>
          </w:p>
          <w:p>
            <w:pPr>
              <w:spacing w:after="0" w:before="0"/>
              <w:jc w:val="left"/>
            </w:pPr>
            <w:r>
              <w:rPr>
                <w:rFonts w:ascii="Arial" w:cs="Arial" w:eastAsia="Arial" w:hAnsi="Arial"/>
                <w:b w:val="false"/>
                <w:bCs w:val="false"/>
                <w:i/>
                <w:iCs/>
                <w:color w:val="374151"/>
                <w:sz w:val="18"/>
                <w:szCs w:val="18"/>
              </w:rPr>
              <w:t xml:space="preserve">"Health Resources and Services Administration"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Federal agency focused on health workforce development and access. Funds programs that train health professionals for underserved communities. Less research-focused than NIH/NINR, more program-focused.</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More likely than NINR to fund something like "training nursing students with community data tools." HRSA grants tend to be faster and more practical than basic research grants.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RWJF</w:t>
            </w:r>
          </w:p>
          <w:p>
            <w:pPr>
              <w:spacing w:after="0" w:before="0"/>
              <w:jc w:val="left"/>
            </w:pPr>
            <w:r>
              <w:rPr>
                <w:rFonts w:ascii="Arial" w:cs="Arial" w:eastAsia="Arial" w:hAnsi="Arial"/>
                <w:b w:val="false"/>
                <w:bCs w:val="false"/>
                <w:i/>
                <w:iCs/>
                <w:color w:val="374151"/>
                <w:sz w:val="18"/>
                <w:szCs w:val="18"/>
              </w:rPr>
              <w:t xml:space="preserve">"Robert Wood Johnson Foundation"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largest private foundation in the US focused on health. Funds health equity work, nursing leadership, community health initiatives. Often more flexible than federal funders and specifically interested in equity.</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this comes up, it's a strong signal they're thinking seriously about health equity framing — which is exactly your platform's territory.</w:t>
            </w:r>
          </w:p>
        </w:tc>
      </w:tr>
    </w:tbl>
    <w:p>
      <w:pPr>
        <w:spacing w:after="0" w:before="160"/>
        <w:jc w:val="left"/>
      </w:pPr>
    </w:p>
    <w:p>
      <w:pPr>
        <w:pBdr>
          <w:bottom w:val="single" w:color="0D6660" w:sz="4" w:space="4"/>
        </w:pBdr>
        <w:spacing w:after="60" w:before="300"/>
        <w:jc w:val="left"/>
      </w:pPr>
      <w:r>
        <w:rPr>
          <w:rFonts w:ascii="Arial" w:cs="Arial" w:eastAsia="Arial" w:hAnsi="Arial"/>
          <w:b/>
          <w:bCs/>
          <w:i w:val="false"/>
          <w:iCs w:val="false"/>
          <w:color w:val="0D6660"/>
          <w:sz w:val="26"/>
          <w:szCs w:val="26"/>
        </w:rPr>
        <w:t xml:space="preserve">4.  Data and Technical Terms They Might Use</w:t>
      </w:r>
    </w:p>
    <w:p>
      <w:pPr>
        <w:spacing w:after="120" w:before="0"/>
        <w:jc w:val="left"/>
      </w:pPr>
      <w:r>
        <w:rPr>
          <w:rFonts w:ascii="Arial" w:cs="Arial" w:eastAsia="Arial" w:hAnsi="Arial"/>
          <w:b w:val="false"/>
          <w:bCs w:val="false"/>
          <w:i w:val="false"/>
          <w:iCs w:val="false"/>
          <w:color w:val="374151"/>
          <w:sz w:val="21"/>
          <w:szCs w:val="21"/>
        </w:rPr>
        <w:t xml:space="preserve">These are terms that might come up when they describe their existing projects or when you're explaining your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GIS</w:t>
            </w:r>
          </w:p>
          <w:p>
            <w:pPr>
              <w:spacing w:after="0" w:before="0"/>
              <w:jc w:val="left"/>
            </w:pPr>
            <w:r>
              <w:rPr>
                <w:rFonts w:ascii="Arial" w:cs="Arial" w:eastAsia="Arial" w:hAnsi="Arial"/>
                <w:b w:val="false"/>
                <w:bCs w:val="false"/>
                <w:i/>
                <w:iCs/>
                <w:color w:val="374151"/>
                <w:sz w:val="18"/>
                <w:szCs w:val="18"/>
              </w:rPr>
              <w:t xml:space="preserve">"Geographic Information System"</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Software and data systems for working with geographic data — maps, coordinates, boundaries, layers. Your platform uses GIS data from CAGIS (Cincinnati's city GIS system) to show zoning, parks, and flood zones. When you query an address for its flood zone, that's a GIS query.</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You don't need to explain GIS to them — they know what it is. But if they ask "where does the geographic data come from?" the answer is CAGIS (the city's ArcGIS system) and FEMA for flood zones.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ACS</w:t>
            </w:r>
          </w:p>
          <w:p>
            <w:pPr>
              <w:spacing w:after="0" w:before="0"/>
              <w:jc w:val="left"/>
            </w:pPr>
            <w:r>
              <w:rPr>
                <w:rFonts w:ascii="Arial" w:cs="Arial" w:eastAsia="Arial" w:hAnsi="Arial"/>
                <w:b w:val="false"/>
                <w:bCs w:val="false"/>
                <w:i/>
                <w:iCs/>
                <w:color w:val="374151"/>
                <w:sz w:val="18"/>
                <w:szCs w:val="18"/>
              </w:rPr>
              <w:t xml:space="preserve">"American Community Survey"</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An ongoing Census Bureau survey that produces neighborhood-level demographic data: income, poverty rates, housing costs, race, education. Updated annually. Your income and racial equity data comes from ACS. It's the gold standard for neighborhood socioeconomics.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When you say "this data comes from the Census," you're usually talking about ACS. It's primary-source, well-respected, and academics will trust it.</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Socrata / SODA</w:t>
            </w:r>
          </w:p>
          <w:p>
            <w:pPr>
              <w:spacing w:after="0" w:before="0"/>
              <w:jc w:val="left"/>
            </w:pPr>
            <w:r>
              <w:rPr>
                <w:rFonts w:ascii="Arial" w:cs="Arial" w:eastAsia="Arial" w:hAnsi="Arial"/>
                <w:b w:val="false"/>
                <w:bCs w:val="false"/>
                <w:i/>
                <w:iCs/>
                <w:color w:val="374151"/>
                <w:sz w:val="18"/>
                <w:szCs w:val="18"/>
              </w:rPr>
              <w:t xml:space="preserve">soh-KRAY-tuh</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data platform that Cincinnati uses for its open data portal (data.cincinnati-oh.gov). Socrata is the company; SODA is the API (the programmatic way to query the data). When you pull crime incidents, building permits, or 311 data, you're calling the SODA API.</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ask "how do you get the city data?" the answer is the Cincinnati Open Data portal, which runs on Socrata. Most people in civic tech know what Socrata is.</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HMDA</w:t>
            </w:r>
          </w:p>
          <w:p>
            <w:pPr>
              <w:spacing w:after="0" w:before="0"/>
              <w:jc w:val="left"/>
            </w:pPr>
            <w:r>
              <w:rPr>
                <w:rFonts w:ascii="Arial" w:cs="Arial" w:eastAsia="Arial" w:hAnsi="Arial"/>
                <w:b w:val="false"/>
                <w:bCs w:val="false"/>
                <w:i/>
                <w:iCs/>
                <w:color w:val="374151"/>
                <w:sz w:val="18"/>
                <w:szCs w:val="18"/>
              </w:rPr>
              <w:t xml:space="preserve">"Home Mortgage Disclosure Act"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federal law requiring banks to disclose mortgage lending data by race, income, and location. The result is a public dataset (collected by the CFPB) showing mortgage approval and denial rates by neighborhood and demographic group.</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where your mortgage approval gap data comes from. The 31-point gap between Black and white applicants in Clifton is HMDA data. It's primary-source federal data — very hard to argue with.</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GTFS</w:t>
            </w:r>
          </w:p>
          <w:p>
            <w:pPr>
              <w:spacing w:after="0" w:before="0"/>
              <w:jc w:val="left"/>
            </w:pPr>
            <w:r>
              <w:rPr>
                <w:rFonts w:ascii="Arial" w:cs="Arial" w:eastAsia="Arial" w:hAnsi="Arial"/>
                <w:b w:val="false"/>
                <w:bCs w:val="false"/>
                <w:i/>
                <w:iCs/>
                <w:color w:val="374151"/>
                <w:sz w:val="18"/>
                <w:szCs w:val="18"/>
              </w:rPr>
              <w:t xml:space="preserve">"General Transit Feed Specification"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The standard data format for public transit schedules and stop locations. SORTA (Cincinnati's transit authority) publishes their bus stop data as a GTFS feed, which is how your platform knows where the 3,743 bus stops are.</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Mostly internal knowledge — you won't need to explain this in the meeting.</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API</w:t>
            </w:r>
          </w:p>
          <w:p>
            <w:pPr>
              <w:spacing w:after="0" w:before="0"/>
              <w:jc w:val="left"/>
            </w:pPr>
            <w:r>
              <w:rPr>
                <w:rFonts w:ascii="Arial" w:cs="Arial" w:eastAsia="Arial" w:hAnsi="Arial"/>
                <w:b w:val="false"/>
                <w:bCs w:val="false"/>
                <w:i/>
                <w:iCs/>
                <w:color w:val="374151"/>
                <w:sz w:val="18"/>
                <w:szCs w:val="18"/>
              </w:rPr>
              <w:t xml:space="preserve">"Application Programming Interface"</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way for one computer system to request data from another. Your platform uses APIs to pull fresh data from Cincinnati Open Data, the Census, FEMA, and other sources in real time. Instead of downloading and storing a copy of all that data, you ask for it when someone needs it.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ask "where does the data live?" — it largely doesn't live on your platform. You request it on demand from the sources. This is actually a safety feature: you're not maintaining a database of sensitive neighborhood information.</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Vintage</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In data, "vintage" means the year or period the data was collected — not the year it was published. Your EJScreen environmental data is "2019 vintage" even though it was published later. Disclosing vintage is how you tell users how current the data is.</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The word will come up. When it does, you can say: "We disclose all vintages directly in the interface and on the Limitations page." That signals methodological seriousness.</w:t>
            </w:r>
          </w:p>
        </w:tc>
      </w:tr>
    </w:tbl>
    <w:p>
      <w:pPr>
        <w:spacing w:after="0" w:before="160"/>
        <w:jc w:val="left"/>
      </w:pPr>
    </w:p>
    <w:p>
      <w:pPr>
        <w:pBdr>
          <w:bottom w:val="single" w:color="1B3A5C" w:sz="4" w:space="4"/>
        </w:pBdr>
        <w:spacing w:after="60" w:before="300"/>
        <w:jc w:val="left"/>
      </w:pPr>
      <w:r>
        <w:rPr>
          <w:rFonts w:ascii="Arial" w:cs="Arial" w:eastAsia="Arial" w:hAnsi="Arial"/>
          <w:b/>
          <w:bCs/>
          <w:i w:val="false"/>
          <w:iCs w:val="false"/>
          <w:color w:val="1B3A5C"/>
          <w:sz w:val="26"/>
          <w:szCs w:val="26"/>
        </w:rPr>
        <w:t xml:space="preserve">5.  Partnership and Institutional Terms</w:t>
      </w:r>
    </w:p>
    <w:p>
      <w:pPr>
        <w:spacing w:after="120" w:before="0"/>
        <w:jc w:val="left"/>
      </w:pPr>
      <w:r>
        <w:rPr>
          <w:rFonts w:ascii="Arial" w:cs="Arial" w:eastAsia="Arial" w:hAnsi="Arial"/>
          <w:b w:val="false"/>
          <w:bCs w:val="false"/>
          <w:i w:val="false"/>
          <w:iCs w:val="false"/>
          <w:color w:val="374151"/>
          <w:sz w:val="21"/>
          <w:szCs w:val="21"/>
        </w:rPr>
        <w:t xml:space="preserve">These are things you might hear in a formal conversation about what a collaboration could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40" w:before="0"/>
              <w:jc w:val="left"/>
            </w:pPr>
            <w:r>
              <w:rPr>
                <w:rFonts w:ascii="Arial" w:cs="Arial" w:eastAsia="Arial" w:hAnsi="Arial"/>
                <w:b/>
                <w:bCs/>
                <w:i w:val="false"/>
                <w:iCs w:val="false"/>
                <w:color w:val="0D6660"/>
                <w:sz w:val="20"/>
                <w:szCs w:val="20"/>
              </w:rPr>
              <w:t xml:space="preserve">MOU</w:t>
            </w:r>
          </w:p>
          <w:p>
            <w:pPr>
              <w:spacing w:after="0" w:before="0"/>
              <w:jc w:val="left"/>
            </w:pPr>
            <w:r>
              <w:rPr>
                <w:rFonts w:ascii="Arial" w:cs="Arial" w:eastAsia="Arial" w:hAnsi="Arial"/>
                <w:b w:val="false"/>
                <w:bCs w:val="false"/>
                <w:i/>
                <w:iCs/>
                <w:color w:val="374151"/>
                <w:sz w:val="18"/>
                <w:szCs w:val="18"/>
              </w:rPr>
              <w:t xml:space="preserve">"Memorandum of Understanding"</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non-binding document that describes what two parties have agreed to do together. Less formal than a contract, but used to establish expectations, roles, and intent. Often the first formal step in a partnership.</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suggest an MOU, read it carefully. "Non-binding" doesn't mean it has no consequences — it signals what they expect from you. Make sure the open-source clause, public URL, and IP ownership are in it.</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Practicum / Field Placement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Credit-bearing work a student does in the real world as part of their degree. A student worker hour you get through a practicum arrangement is a student getting academic credit for helping with your platform.</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Practicum arrangements are a low-cost way to get student help. The student benefits (credit, experience), you benefit (labor), the college benefits (real-world placement). Worth exploring explicitly if they offer student involvement.</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Curriculum Integration</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Formally embedding a tool or resource into a course syllabus, rather than just recommending it. Once something is in the curriculum, it's sticky — it gets used every semester and becomes load-bearing.</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This is higher-value than a casual endorsement. If they say "we could integrate this into NUR 401," that's a meaningful commitment. Also means the platform needs to be reliable — they can't have it go down the week students have an assignment due.</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Co-Investigator (Co-I)</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researcher who is formally named on a grant alongside the Principal Investigator. Co-Is share responsibility for the research and are named in publications. Different from a contractor or consultant.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Being named as a Co-I gives you more credit and publication exposure but also more accountability to the funder's requirements. Understand what you're committing to before accepting this role.</w:t>
            </w:r>
          </w:p>
        </w:tc>
      </w:tr>
      <w:tr>
        <w:tc>
          <w:tcPr>
            <w:tcW w:type="dxa" w:w="2620"/>
            <w:tcBorders>
              <w:top w:val="single" w:color="E5E7EB" w:sz="1"/>
              <w:left w:val="single" w:color="E5E7EB" w:sz="1"/>
              <w:bottom w:val="single" w:color="E5E7EB" w:sz="1"/>
              <w:right w:val="single" w:color="E5E7EB" w:sz="1"/>
            </w:tcBorders>
            <w:shd w:fill="F0FDFA" w:val="clear"/>
            <w:tcMar>
              <w:top w:type="dxa" w:w="100"/>
              <w:left w:type="dxa" w:w="140"/>
              <w:bottom w:type="dxa" w:w="100"/>
              <w:right w:type="dxa" w:w="140"/>
            </w:tcMar>
            <w:vAlign w:val="top"/>
          </w:tcPr>
          <w:p>
            <w:pPr>
              <w:spacing w:after="0" w:before="0"/>
              <w:jc w:val="left"/>
            </w:pPr>
            <w:r>
              <w:rPr>
                <w:rFonts w:ascii="Arial" w:cs="Arial" w:eastAsia="Arial" w:hAnsi="Arial"/>
                <w:b/>
                <w:bCs/>
                <w:i w:val="false"/>
                <w:iCs w:val="false"/>
                <w:color w:val="0D6660"/>
                <w:sz w:val="20"/>
                <w:szCs w:val="20"/>
              </w:rPr>
              <w:t xml:space="preserve">Letter of Support</w:t>
            </w:r>
          </w:p>
        </w:tc>
        <w:tc>
          <w:tcPr>
            <w:tcW w:type="dxa" w:w="67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top"/>
          </w:tcPr>
          <w:p>
            <w:pPr>
              <w:spacing w:after="60" w:before="0"/>
              <w:jc w:val="left"/>
            </w:pPr>
            <w:r>
              <w:rPr>
                <w:rFonts w:ascii="Arial" w:cs="Arial" w:eastAsia="Arial" w:hAnsi="Arial"/>
                <w:b w:val="false"/>
                <w:bCs w:val="false"/>
                <w:i w:val="false"/>
                <w:iCs w:val="false"/>
                <w:color w:val="111827"/>
                <w:sz w:val="20"/>
                <w:szCs w:val="20"/>
              </w:rPr>
              <w:t xml:space="preserve">A formal letter from a partner organization saying they support a grant application. Requested by the PI before the grant is submitted. Doesn't commit you to do anything — it just says you believe in the project.</w:t>
            </w:r>
          </w:p>
          <w:p>
            <w:pPr>
              <w:spacing w:after="0" w:before="0"/>
              <w:jc w:val="left"/>
            </w:pPr>
            <w:r>
              <w:rPr>
                <w:rFonts w:ascii="Arial" w:cs="Arial" w:eastAsia="Arial" w:hAnsi="Arial"/>
                <w:b/>
                <w:bCs/>
                <w:i w:val="false"/>
                <w:iCs w:val="false"/>
                <w:color w:val="B45309"/>
                <w:sz w:val="19"/>
                <w:szCs w:val="19"/>
              </w:rPr>
              <w:t xml:space="preserve">Why it matters to you: </w:t>
            </w:r>
            <w:r>
              <w:rPr>
                <w:rFonts w:ascii="Arial" w:cs="Arial" w:eastAsia="Arial" w:hAnsi="Arial"/>
                <w:b w:val="false"/>
                <w:bCs w:val="false"/>
                <w:i w:val="false"/>
                <w:iCs w:val="false"/>
                <w:color w:val="374151"/>
                <w:sz w:val="19"/>
                <w:szCs w:val="19"/>
              </w:rPr>
              <w:t xml:space="preserve">If they ask you to write a letter of support for a grant they're applying for, that's low-commitment and worth doing. It helps their application without binding you to anything.</w:t>
            </w:r>
          </w:p>
        </w:tc>
      </w:tr>
    </w:tbl>
    <w:p>
      <w:pPr>
        <w:spacing w:after="0" w:before="160"/>
        <w:jc w:val="left"/>
      </w:pPr>
    </w:p>
    <w:p>
      <w:pPr>
        <w:pBdr>
          <w:bottom w:val="single" w:color="0D6660" w:sz="4" w:space="4"/>
        </w:pBdr>
        <w:spacing w:after="60" w:before="300"/>
        <w:jc w:val="left"/>
      </w:pPr>
      <w:r>
        <w:rPr>
          <w:rFonts w:ascii="Arial" w:cs="Arial" w:eastAsia="Arial" w:hAnsi="Arial"/>
          <w:b/>
          <w:bCs/>
          <w:i w:val="false"/>
          <w:iCs w:val="false"/>
          <w:color w:val="0D6660"/>
          <w:sz w:val="26"/>
          <w:szCs w:val="26"/>
        </w:rPr>
        <w:t xml:space="preserve">6.  Things That Sound Scarier Than They Are</w:t>
      </w:r>
    </w:p>
    <w:p>
      <w:pPr>
        <w:spacing w:after="0" w:before="6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660" w:sz="20"/>
              <w:bottom w:val="none" w:color="FFFFFF" w:sz="0"/>
              <w:right w:val="none" w:color="FFFFFF" w:sz="0"/>
            </w:tcBorders>
            <w:shd w:fill="F0FDFA" w:val="clear"/>
            <w:tcMar>
              <w:top w:type="dxa" w:w="100"/>
              <w:left w:type="dxa" w:w="180"/>
              <w:bottom w:type="dxa" w:w="100"/>
              <w:right w:type="dxa" w:w="160"/>
            </w:tcMar>
          </w:tcPr>
          <w:p>
            <w:pPr>
              <w:spacing w:after="60" w:before="0"/>
              <w:jc w:val="left"/>
            </w:pPr>
            <w:r>
              <w:rPr>
                <w:rFonts w:ascii="Arial" w:cs="Arial" w:eastAsia="Arial" w:hAnsi="Arial"/>
                <w:b/>
                <w:bCs/>
                <w:i w:val="false"/>
                <w:iCs w:val="false"/>
                <w:color w:val="0D6660"/>
                <w:sz w:val="21"/>
                <w:szCs w:val="21"/>
              </w:rPr>
              <w:t xml:space="preserve">💬  "We'd need IRB approval for that"</w:t>
            </w:r>
          </w:p>
          <w:p>
            <w:pPr>
              <w:spacing w:after="40" w:before="0"/>
              <w:jc w:val="left"/>
            </w:pPr>
            <w:r>
              <w:rPr>
                <w:rFonts w:ascii="Arial" w:cs="Arial" w:eastAsia="Arial" w:hAnsi="Arial"/>
                <w:b w:val="false"/>
                <w:bCs w:val="false"/>
                <w:i w:val="false"/>
                <w:iCs w:val="false"/>
                <w:color w:val="374151"/>
                <w:sz w:val="20"/>
                <w:szCs w:val="20"/>
              </w:rPr>
              <w:t xml:space="preserve">This means: if you want to publish findings from research involving human subjects (like studying how students use the platform), you need ethics review first.</w:t>
            </w:r>
          </w:p>
          <w:p>
            <w:pPr>
              <w:spacing w:after="40" w:before="0"/>
              <w:jc w:val="left"/>
            </w:pPr>
            <w:r>
              <w:rPr>
                <w:rFonts w:ascii="Arial" w:cs="Arial" w:eastAsia="Arial" w:hAnsi="Arial"/>
                <w:b w:val="false"/>
                <w:bCs w:val="false"/>
                <w:i w:val="false"/>
                <w:iCs w:val="false"/>
                <w:color w:val="374151"/>
                <w:sz w:val="20"/>
                <w:szCs w:val="20"/>
              </w:rPr>
              <w:t xml:space="preserve">It's not a no. It's a process that a faculty PI handles. It adds a few months, not years.</w:t>
            </w:r>
          </w:p>
          <w:p>
            <w:pPr>
              <w:spacing w:after="40" w:before="0"/>
              <w:jc w:val="left"/>
            </w:pPr>
            <w:r>
              <w:rPr>
                <w:rFonts w:ascii="Arial" w:cs="Arial" w:eastAsia="Arial" w:hAnsi="Arial"/>
                <w:b w:val="false"/>
                <w:bCs w:val="false"/>
                <w:i w:val="false"/>
                <w:iCs w:val="false"/>
                <w:color w:val="374151"/>
                <w:sz w:val="20"/>
                <w:szCs w:val="20"/>
              </w:rPr>
              <w:t xml:space="preserve">Your platform itself doesn't need IRB approval — only the research studying how people use it would.</w:t>
            </w:r>
          </w:p>
        </w:tc>
      </w:tr>
    </w:tbl>
    <w:p>
      <w:pPr>
        <w:spacing w:after="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660" w:sz="20"/>
              <w:bottom w:val="none" w:color="FFFFFF" w:sz="0"/>
              <w:right w:val="none" w:color="FFFFFF" w:sz="0"/>
            </w:tcBorders>
            <w:shd w:fill="F0FDFA" w:val="clear"/>
            <w:tcMar>
              <w:top w:type="dxa" w:w="100"/>
              <w:left w:type="dxa" w:w="180"/>
              <w:bottom w:type="dxa" w:w="100"/>
              <w:right w:type="dxa" w:w="160"/>
            </w:tcMar>
          </w:tcPr>
          <w:p>
            <w:pPr>
              <w:spacing w:after="60" w:before="0"/>
              <w:jc w:val="left"/>
            </w:pPr>
            <w:r>
              <w:rPr>
                <w:rFonts w:ascii="Arial" w:cs="Arial" w:eastAsia="Arial" w:hAnsi="Arial"/>
                <w:b/>
                <w:bCs/>
                <w:i w:val="false"/>
                <w:iCs w:val="false"/>
                <w:color w:val="0D6660"/>
                <w:sz w:val="21"/>
                <w:szCs w:val="21"/>
              </w:rPr>
              <w:t xml:space="preserve">💬  "This would need to go through procurement"</w:t>
            </w:r>
          </w:p>
          <w:p>
            <w:pPr>
              <w:spacing w:after="40" w:before="0"/>
              <w:jc w:val="left"/>
            </w:pPr>
            <w:r>
              <w:rPr>
                <w:rFonts w:ascii="Arial" w:cs="Arial" w:eastAsia="Arial" w:hAnsi="Arial"/>
                <w:b w:val="false"/>
                <w:bCs w:val="false"/>
                <w:i w:val="false"/>
                <w:iCs w:val="false"/>
                <w:color w:val="374151"/>
                <w:sz w:val="20"/>
                <w:szCs w:val="20"/>
              </w:rPr>
              <w:t xml:space="preserve">Means: the university has a formal process for approving vendor relationships and contracts.</w:t>
            </w:r>
          </w:p>
          <w:p>
            <w:pPr>
              <w:spacing w:after="40" w:before="0"/>
              <w:jc w:val="left"/>
            </w:pPr>
            <w:r>
              <w:rPr>
                <w:rFonts w:ascii="Arial" w:cs="Arial" w:eastAsia="Arial" w:hAnsi="Arial"/>
                <w:b w:val="false"/>
                <w:bCs w:val="false"/>
                <w:i w:val="false"/>
                <w:iCs w:val="false"/>
                <w:color w:val="374151"/>
                <w:sz w:val="20"/>
                <w:szCs w:val="20"/>
              </w:rPr>
              <w:t xml:space="preserve">For your platform, this matters most if they want to formally pay for access or hire you. At Tier 1 (operational support), you're probably just a donation or gift — simpler process.</w:t>
            </w:r>
          </w:p>
          <w:p>
            <w:pPr>
              <w:spacing w:after="40" w:before="0"/>
              <w:jc w:val="left"/>
            </w:pPr>
            <w:r>
              <w:rPr>
                <w:rFonts w:ascii="Arial" w:cs="Arial" w:eastAsia="Arial" w:hAnsi="Arial"/>
                <w:b w:val="false"/>
                <w:bCs w:val="false"/>
                <w:i w:val="false"/>
                <w:iCs w:val="false"/>
                <w:color w:val="374151"/>
                <w:sz w:val="20"/>
                <w:szCs w:val="20"/>
              </w:rPr>
              <w:t xml:space="preserve">It's not a rejection. It's a heads-up that paperwork takes time.</w:t>
            </w:r>
          </w:p>
        </w:tc>
      </w:tr>
    </w:tbl>
    <w:p>
      <w:pPr>
        <w:spacing w:after="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0"/>
              <w:bottom w:val="none" w:color="FFFFFF" w:sz="0"/>
              <w:right w:val="none" w:color="FFFFFF" w:sz="0"/>
            </w:tcBorders>
            <w:shd w:fill="FFFBEB" w:val="clear"/>
            <w:tcMar>
              <w:top w:type="dxa" w:w="100"/>
              <w:left w:type="dxa" w:w="180"/>
              <w:bottom w:type="dxa" w:w="100"/>
              <w:right w:type="dxa" w:w="160"/>
            </w:tcMar>
          </w:tcPr>
          <w:p>
            <w:pPr>
              <w:spacing w:after="60" w:before="0"/>
              <w:jc w:val="left"/>
            </w:pPr>
            <w:r>
              <w:rPr>
                <w:rFonts w:ascii="Arial" w:cs="Arial" w:eastAsia="Arial" w:hAnsi="Arial"/>
                <w:b/>
                <w:bCs/>
                <w:i w:val="false"/>
                <w:iCs w:val="false"/>
                <w:color w:val="B45309"/>
                <w:sz w:val="21"/>
                <w:szCs w:val="21"/>
              </w:rPr>
              <w:t xml:space="preserve">💬  "We'd want to see the data governance model"</w:t>
            </w:r>
          </w:p>
          <w:p>
            <w:pPr>
              <w:spacing w:after="40" w:before="0"/>
              <w:jc w:val="left"/>
            </w:pPr>
            <w:r>
              <w:rPr>
                <w:rFonts w:ascii="Arial" w:cs="Arial" w:eastAsia="Arial" w:hAnsi="Arial"/>
                <w:b w:val="false"/>
                <w:bCs w:val="false"/>
                <w:i w:val="false"/>
                <w:iCs w:val="false"/>
                <w:color w:val="374151"/>
                <w:sz w:val="20"/>
                <w:szCs w:val="20"/>
              </w:rPr>
              <w:t xml:space="preserve">Means: they want to understand how you manage data — where it's stored, who can access it, how privacy is protected.</w:t>
            </w:r>
          </w:p>
          <w:p>
            <w:pPr>
              <w:spacing w:after="40" w:before="0"/>
              <w:jc w:val="left"/>
            </w:pPr>
            <w:r>
              <w:rPr>
                <w:rFonts w:ascii="Arial" w:cs="Arial" w:eastAsia="Arial" w:hAnsi="Arial"/>
                <w:b w:val="false"/>
                <w:bCs w:val="false"/>
                <w:i w:val="false"/>
                <w:iCs w:val="false"/>
                <w:color w:val="374151"/>
                <w:sz w:val="20"/>
                <w:szCs w:val="20"/>
              </w:rPr>
              <w:t xml:space="preserve">Your honest answer: the platform doesn't store community data. It pulls from public sources on demand. There's no database of neighborhood residents. There's no HIPAA surface because there's no patient data.</w:t>
            </w:r>
          </w:p>
          <w:p>
            <w:pPr>
              <w:spacing w:after="40" w:before="0"/>
              <w:jc w:val="left"/>
            </w:pPr>
            <w:r>
              <w:rPr>
                <w:rFonts w:ascii="Arial" w:cs="Arial" w:eastAsia="Arial" w:hAnsi="Arial"/>
                <w:b w:val="false"/>
                <w:bCs w:val="false"/>
                <w:i w:val="false"/>
                <w:iCs w:val="false"/>
                <w:color w:val="374151"/>
                <w:sz w:val="20"/>
                <w:szCs w:val="20"/>
              </w:rPr>
              <w:t xml:space="preserve">That's actually a very strong governance story — tell it confidently.</w:t>
            </w:r>
          </w:p>
        </w:tc>
      </w:tr>
    </w:tbl>
    <w:p>
      <w:pPr>
        <w:spacing w:after="0" w:before="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6660" w:sz="20"/>
              <w:bottom w:val="none" w:color="FFFFFF" w:sz="0"/>
              <w:right w:val="none" w:color="FFFFFF" w:sz="0"/>
            </w:tcBorders>
            <w:shd w:fill="F0FDFA" w:val="clear"/>
            <w:tcMar>
              <w:top w:type="dxa" w:w="100"/>
              <w:left w:type="dxa" w:w="180"/>
              <w:bottom w:type="dxa" w:w="100"/>
              <w:right w:type="dxa" w:w="160"/>
            </w:tcMar>
          </w:tcPr>
          <w:p>
            <w:pPr>
              <w:spacing w:after="60" w:before="0"/>
              <w:jc w:val="left"/>
            </w:pPr>
            <w:r>
              <w:rPr>
                <w:rFonts w:ascii="Arial" w:cs="Arial" w:eastAsia="Arial" w:hAnsi="Arial"/>
                <w:b/>
                <w:bCs/>
                <w:i w:val="false"/>
                <w:iCs w:val="false"/>
                <w:color w:val="0D6660"/>
                <w:sz w:val="21"/>
                <w:szCs w:val="21"/>
              </w:rPr>
              <w:t xml:space="preserve">💬  "Let's loop in our grants office"</w:t>
            </w:r>
          </w:p>
          <w:p>
            <w:pPr>
              <w:spacing w:after="40" w:before="0"/>
              <w:jc w:val="left"/>
            </w:pPr>
            <w:r>
              <w:rPr>
                <w:rFonts w:ascii="Arial" w:cs="Arial" w:eastAsia="Arial" w:hAnsi="Arial"/>
                <w:b w:val="false"/>
                <w:bCs w:val="false"/>
                <w:i w:val="false"/>
                <w:iCs w:val="false"/>
                <w:color w:val="374151"/>
                <w:sz w:val="20"/>
                <w:szCs w:val="20"/>
              </w:rPr>
              <w:t xml:space="preserve">Means: someone with budget authority is now involved. This is a good sign, not a bureaucratic brush-off.</w:t>
            </w:r>
          </w:p>
          <w:p>
            <w:pPr>
              <w:spacing w:after="40" w:before="0"/>
              <w:jc w:val="left"/>
            </w:pPr>
            <w:r>
              <w:rPr>
                <w:rFonts w:ascii="Arial" w:cs="Arial" w:eastAsia="Arial" w:hAnsi="Arial"/>
                <w:b w:val="false"/>
                <w:bCs w:val="false"/>
                <w:i w:val="false"/>
                <w:iCs w:val="false"/>
                <w:color w:val="374151"/>
                <w:sz w:val="20"/>
                <w:szCs w:val="20"/>
              </w:rPr>
              <w:t xml:space="preserve">The grants office manages compliance, budgets, and funder relationships. Their involvement means real money is on the table.</w:t>
            </w:r>
          </w:p>
        </w:tc>
      </w:tr>
    </w:tbl>
    <w:p>
      <w:pPr>
        <w:spacing w:after="0" w:before="160"/>
        <w:jc w:val="left"/>
      </w:pPr>
    </w:p>
    <w:p>
      <w:pPr>
        <w:pBdr>
          <w:bottom w:val="single" w:color="1B3A5C" w:sz="4" w:space="4"/>
        </w:pBdr>
        <w:spacing w:after="60" w:before="300"/>
        <w:jc w:val="left"/>
      </w:pPr>
      <w:r>
        <w:rPr>
          <w:rFonts w:ascii="Arial" w:cs="Arial" w:eastAsia="Arial" w:hAnsi="Arial"/>
          <w:b/>
          <w:bCs/>
          <w:i w:val="false"/>
          <w:iCs w:val="false"/>
          <w:color w:val="1B3A5C"/>
          <w:sz w:val="26"/>
          <w:szCs w:val="26"/>
        </w:rPr>
        <w:t xml:space="preserve">7.  The One Thing to Carry In</w:t>
      </w:r>
    </w:p>
    <w:p>
      <w:pPr>
        <w:spacing w:after="0" w:before="4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28"/>
              <w:bottom w:val="none" w:color="FFFFFF" w:sz="0"/>
              <w:right w:val="none" w:color="FFFFFF" w:sz="0"/>
            </w:tcBorders>
            <w:shd w:fill="EEF2FF" w:val="clear"/>
            <w:tcMar>
              <w:top w:type="dxa" w:w="160"/>
              <w:left w:type="dxa" w:w="200"/>
              <w:bottom w:type="dxa" w:w="160"/>
              <w:right w:type="dxa" w:w="200"/>
            </w:tcMar>
          </w:tcPr>
          <w:p>
            <w:pPr>
              <w:spacing w:after="100" w:before="0"/>
              <w:jc w:val="left"/>
            </w:pPr>
            <w:r>
              <w:rPr>
                <w:rFonts w:ascii="Arial" w:cs="Arial" w:eastAsia="Arial" w:hAnsi="Arial"/>
                <w:b/>
                <w:bCs/>
                <w:i w:val="false"/>
                <w:iCs w:val="false"/>
                <w:color w:val="1B3A5C"/>
                <w:sz w:val="22"/>
                <w:szCs w:val="22"/>
              </w:rPr>
              <w:t xml:space="preserve">You are not presenting yourself as a vendor, a student, or a supplicant. You're a technical architect who built something real and valuable for this city — and you're here to understand what they need before deciding if a partnership makes sense.</w:t>
            </w:r>
          </w:p>
          <w:p>
            <w:pPr>
              <w:spacing w:after="0" w:before="0"/>
              <w:jc w:val="left"/>
            </w:pPr>
            <w:r>
              <w:rPr>
                <w:rFonts w:ascii="Arial" w:cs="Arial" w:eastAsia="Arial" w:hAnsi="Arial"/>
                <w:b w:val="false"/>
                <w:bCs w:val="false"/>
                <w:i w:val="false"/>
                <w:iCs w:val="false"/>
                <w:color w:val="374151"/>
                <w:sz w:val="21"/>
                <w:szCs w:val="21"/>
              </w:rPr>
              <w:t xml:space="preserve">The terminology in this document is context, not a script. If you don't know a term, "I'm not familiar with that specific program — can you tell me more about it?" is a completely professional answer. Curiosity is more credible than performed expertise.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left"/>
    </w:pPr>
    <w:r>
      <w:rPr>
        <w:rFonts w:ascii="Arial" w:cs="Arial" w:eastAsia="Arial" w:hAnsi="Arial"/>
        <w:b w:val="false"/>
        <w:bCs w:val="false"/>
        <w:i w:val="false"/>
        <w:iCs w:val="false"/>
        <w:color w:val="AAAAAA"/>
        <w:sz w:val="17"/>
        <w:szCs w:val="17"/>
      </w:rPr>
      <w:t xml:space="preserve">Personal reference only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b w:val="false"/>
        <w:bCs w:val="false"/>
        <w:i/>
        <w:iCs/>
        <w:color w:val="374151"/>
        <w:sz w:val="17"/>
        <w:szCs w:val="17"/>
      </w:rPr>
      <w:t xml:space="preserve">Cincinnati Civic Data  ·  UC Nursing Meeting Primer</w:t>
    </w:r>
    <w:r>
      <w:rPr>
        <w:rFonts w:ascii="Arial" w:cs="Arial" w:eastAsia="Arial" w:hAnsi="Arial"/>
        <w:b w:val="false"/>
        <w:bCs w:val="false"/>
        <w:i/>
        <w:iCs/>
        <w:color w:val="AAAAAA"/>
        <w:sz w:val="17"/>
        <w:szCs w:val="17"/>
      </w:rPr>
      <w:t xml:space="preserve">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2026-04-26T14:58:48.757Z</dcterms:created>
  <dcterms:modified xsi:type="dcterms:W3CDTF">2026-04-26T14:58:48.757Z</dcterms:modified>
</cp:coreProperties>
</file>

<file path=docProps/custom.xml><?xml version="1.0" encoding="utf-8"?>
<Properties xmlns="http://schemas.openxmlformats.org/officeDocument/2006/custom-properties" xmlns:vt="http://schemas.openxmlformats.org/officeDocument/2006/docPropsVTypes"/>
</file>