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A4A6B"/>
          <w:sz w:val="52"/>
          <w:szCs w:val="52"/>
        </w:rPr>
        <w:t xml:space="preserve">Cincinnati Civic Data Platform</w:t>
      </w:r>
    </w:p>
    <w:p>
      <w:pPr>
        <w:spacing w:before="0" w:after="80"/>
        <w:jc w:val="center"/>
      </w:pPr>
      <w:r>
        <w:rPr>
          <w:rFonts w:ascii="Arial" w:cs="Arial" w:eastAsia="Arial" w:hAnsi="Arial"/>
          <w:i/>
          <w:iCs/>
          <w:color w:val="5A7A9A"/>
          <w:sz w:val="24"/>
          <w:szCs w:val="24"/>
        </w:rPr>
        <w:t xml:space="preserve">Claude Code Project Scope &amp; Handoff Document</w:t>
      </w:r>
    </w:p>
    <w:p>
      <w:pPr>
        <w:spacing w:before="0" w:after="400"/>
        <w:jc w:val="center"/>
      </w:pPr>
      <w:r>
        <w:rPr>
          <w:rFonts w:ascii="Arial" w:cs="Arial" w:eastAsia="Arial" w:hAnsi="Arial"/>
          <w:color w:val="888888"/>
          <w:sz w:val="18"/>
          <w:szCs w:val="18"/>
        </w:rPr>
        <w:t xml:space="preserve">Version 1.0  |  March 2026  |  Prepared for Claude Code</w:t>
      </w:r>
    </w:p>
    <w:p>
      <w:pPr>
        <w:pBdr>
          <w:bottom w:val="single" w:color="CCCCCC" w:sz="4" w:space="1"/>
        </w:pBdr>
        <w:spacing w:before="200" w:after="200"/>
      </w:pPr>
      <w:r>
        <w:t xml:space="preserve"/>
      </w:r>
    </w:p>
    <w:p>
      <w:pPr>
        <w:pStyle w:val="Heading1"/>
        <w:spacing w:before="360" w:after="160"/>
      </w:pPr>
      <w:r>
        <w:rPr>
          <w:rFonts w:ascii="Arial" w:cs="Arial" w:eastAsia="Arial" w:hAnsi="Arial"/>
          <w:b/>
          <w:bCs/>
          <w:color w:val="1A4A6B"/>
          <w:sz w:val="32"/>
          <w:szCs w:val="32"/>
        </w:rPr>
        <w:t xml:space="preserve">1. Project Overview</w:t>
      </w:r>
    </w:p>
    <w:p>
      <w:pPr>
        <w:spacing w:before="60" w:after="60"/>
      </w:pPr>
      <w:r>
        <w:rPr>
          <w:rFonts w:ascii="Arial" w:cs="Arial" w:eastAsia="Arial" w:hAnsi="Arial"/>
          <w:sz w:val="20"/>
          <w:szCs w:val="20"/>
        </w:rPr>
        <w:t xml:space="preserve">This document defines the full scope, architecture, data sources, and per-tab requirements for a single-page civic data web application serving Cincinnati residents, housing advocates, journalists, and community organizers. All data is sourced from public city APIs. No backend server is required for data storage; all queries hit live APIs at runtime.</w:t>
      </w:r>
    </w:p>
    <w:p>
      <w:pPr>
        <w:spacing w:before="60" w:after="60"/>
      </w:pPr>
      <w:r>
        <w:rPr>
          <w:rFonts w:ascii="Arial" w:cs="Arial" w:eastAsia="Arial" w:hAnsi="Arial"/>
          <w:sz w:val="20"/>
          <w:szCs w:val="20"/>
        </w:rPr>
        <w:t xml:space="preserve">The application is a single URL with a tabbed interface. Each tab is a self-contained tool with a consistent design language and a shared interaction pattern: plain-English questions answered with sourced, cited data. All tabs must support both English and Spanish.</w:t>
      </w:r>
    </w:p>
    <w:p>
      <w:pPr>
        <w:spacing w:before="160" w:after="0"/>
      </w:pPr>
      <w:r>
        <w:t xml:space="preserve"/>
      </w:r>
    </w:p>
    <w:p>
      <w:pPr>
        <w:pStyle w:val="Heading1"/>
        <w:spacing w:before="360" w:after="160"/>
      </w:pPr>
      <w:r>
        <w:rPr>
          <w:rFonts w:ascii="Arial" w:cs="Arial" w:eastAsia="Arial" w:hAnsi="Arial"/>
          <w:b/>
          <w:bCs/>
          <w:color w:val="1A4A6B"/>
          <w:sz w:val="32"/>
          <w:szCs w:val="32"/>
        </w:rPr>
        <w:t xml:space="preserve">2. Technical Stack &amp; Architecture</w:t>
      </w:r>
    </w:p>
    <w:p>
      <w:pPr>
        <w:spacing w:before="200" w:after="80"/>
      </w:pPr>
      <w:r>
        <w:rPr>
          <w:rFonts w:ascii="Arial" w:cs="Arial" w:eastAsia="Arial" w:hAnsi="Arial"/>
          <w:b/>
          <w:bCs/>
          <w:color w:val="2C6B9A"/>
          <w:sz w:val="22"/>
          <w:szCs w:val="22"/>
        </w:rPr>
        <w:t xml:space="preserve">Recommended stack</w:t>
      </w:r>
    </w:p>
    <w:p>
      <w:pPr>
        <w:pStyle w:val="ListParagraph"/>
        <w:numPr>
          <w:ilvl w:val="0"/>
          <w:numId w:val="2"/>
        </w:numPr>
        <w:spacing w:before="40" w:after="40"/>
      </w:pPr>
      <w:r>
        <w:rPr>
          <w:rFonts w:ascii="Arial" w:cs="Arial" w:eastAsia="Arial" w:hAnsi="Arial"/>
          <w:sz w:val="20"/>
          <w:szCs w:val="20"/>
        </w:rPr>
        <w:t xml:space="preserve">Framework: React (Next.js or Vite) with TypeScript</w:t>
      </w:r>
    </w:p>
    <w:p>
      <w:pPr>
        <w:pStyle w:val="ListParagraph"/>
        <w:numPr>
          <w:ilvl w:val="0"/>
          <w:numId w:val="2"/>
        </w:numPr>
        <w:spacing w:before="40" w:after="40"/>
      </w:pPr>
      <w:r>
        <w:rPr>
          <w:rFonts w:ascii="Arial" w:cs="Arial" w:eastAsia="Arial" w:hAnsi="Arial"/>
          <w:sz w:val="20"/>
          <w:szCs w:val="20"/>
        </w:rPr>
        <w:t xml:space="preserve">Styling: Tailwind CSS</w:t>
      </w:r>
    </w:p>
    <w:p>
      <w:pPr>
        <w:pStyle w:val="ListParagraph"/>
        <w:numPr>
          <w:ilvl w:val="0"/>
          <w:numId w:val="2"/>
        </w:numPr>
        <w:spacing w:before="40" w:after="40"/>
      </w:pPr>
      <w:r>
        <w:rPr>
          <w:rFonts w:ascii="Arial" w:cs="Arial" w:eastAsia="Arial" w:hAnsi="Arial"/>
          <w:sz w:val="20"/>
          <w:szCs w:val="20"/>
        </w:rPr>
        <w:t xml:space="preserve">Maps: Leaflet.js or Mapbox GL JS (free tier sufficient)</w:t>
      </w:r>
    </w:p>
    <w:p>
      <w:pPr>
        <w:pStyle w:val="ListParagraph"/>
        <w:numPr>
          <w:ilvl w:val="0"/>
          <w:numId w:val="2"/>
        </w:numPr>
        <w:spacing w:before="40" w:after="40"/>
      </w:pPr>
      <w:r>
        <w:rPr>
          <w:rFonts w:ascii="Arial" w:cs="Arial" w:eastAsia="Arial" w:hAnsi="Arial"/>
          <w:sz w:val="20"/>
          <w:szCs w:val="20"/>
        </w:rPr>
        <w:t xml:space="preserve">Charts: Recharts or Chart.js</w:t>
      </w:r>
    </w:p>
    <w:p>
      <w:pPr>
        <w:pStyle w:val="ListParagraph"/>
        <w:numPr>
          <w:ilvl w:val="0"/>
          <w:numId w:val="2"/>
        </w:numPr>
        <w:spacing w:before="40" w:after="40"/>
      </w:pPr>
      <w:r>
        <w:rPr>
          <w:rFonts w:ascii="Arial" w:cs="Arial" w:eastAsia="Arial" w:hAnsi="Arial"/>
          <w:sz w:val="20"/>
          <w:szCs w:val="20"/>
        </w:rPr>
        <w:t xml:space="preserve">i18n: i18next with react-i18next for English/Spanish</w:t>
      </w:r>
    </w:p>
    <w:p>
      <w:pPr>
        <w:pStyle w:val="ListParagraph"/>
        <w:numPr>
          <w:ilvl w:val="0"/>
          <w:numId w:val="2"/>
        </w:numPr>
        <w:spacing w:before="40" w:after="40"/>
      </w:pPr>
      <w:r>
        <w:rPr>
          <w:rFonts w:ascii="Arial" w:cs="Arial" w:eastAsia="Arial" w:hAnsi="Arial"/>
          <w:sz w:val="20"/>
          <w:szCs w:val="20"/>
        </w:rPr>
        <w:t xml:space="preserve">PDF/Print: browser print API with print-specific CSS stylesheets</w:t>
      </w:r>
    </w:p>
    <w:p>
      <w:pPr>
        <w:pStyle w:val="ListParagraph"/>
        <w:numPr>
          <w:ilvl w:val="0"/>
          <w:numId w:val="2"/>
        </w:numPr>
        <w:spacing w:before="40" w:after="40"/>
      </w:pPr>
      <w:r>
        <w:rPr>
          <w:rFonts w:ascii="Arial" w:cs="Arial" w:eastAsia="Arial" w:hAnsi="Arial"/>
          <w:sz w:val="20"/>
          <w:szCs w:val="20"/>
        </w:rPr>
        <w:t xml:space="preserve">AI queries: Anthropic Claude API (claude-sonnet-4-20250514) for natural language interpretation</w:t>
      </w:r>
    </w:p>
    <w:p>
      <w:pPr>
        <w:spacing w:before="120" w:after="0"/>
      </w:pPr>
      <w:r>
        <w:t xml:space="preserve"/>
      </w:r>
    </w:p>
    <w:p>
      <w:pPr>
        <w:spacing w:before="200" w:after="80"/>
      </w:pPr>
      <w:r>
        <w:rPr>
          <w:rFonts w:ascii="Arial" w:cs="Arial" w:eastAsia="Arial" w:hAnsi="Arial"/>
          <w:b/>
          <w:bCs/>
          <w:color w:val="2C6B9A"/>
          <w:sz w:val="22"/>
          <w:szCs w:val="22"/>
        </w:rPr>
        <w:t xml:space="preserve">Primary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63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Socrata SODA API</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All Cincinnati Open Data Portal datasets. Base URL: https://data.cincinnati-oh.gov/resource/{uid}.json — supports $where, $limit, $offset, $select, $group, $order query params. No auth required for public datasets.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CAGIS ArcGIS REST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Geographic layers (zoning, parcels, neighborhoods). Base URL: https://data-cagisportal.opendata.arcgis.com — standard ArcGIS Feature Service REST API.</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US Census ACS API</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Neighborhood income and housing cost data. Free API key required from census.gov. Endpoint: https://api.census.gov/data/{year}/acs/acs5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Google Maps / Mapbox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Geocoding addresses entered by users (Tab 1). Use whichever has an available API key.</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SORTA GTFS</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Transit access data. Cincinnati Metro publishes GTFS feeds for stop locations and routes.</w:t>
            </w:r>
          </w:p>
        </w:tc>
      </w:tr>
    </w:tbl>
    <w:p>
      <w:pPr>
        <w:spacing w:before="160" w:after="0"/>
      </w:pPr>
      <w:r>
        <w:t xml:space="preserve"/>
      </w:r>
    </w:p>
    <w:p>
      <w:pPr>
        <w:spacing w:before="200" w:after="80"/>
      </w:pPr>
      <w:r>
        <w:rPr>
          <w:rFonts w:ascii="Arial" w:cs="Arial" w:eastAsia="Arial" w:hAnsi="Arial"/>
          <w:b/>
          <w:bCs/>
          <w:color w:val="2C6B9A"/>
          <w:sz w:val="22"/>
          <w:szCs w:val="22"/>
        </w:rPr>
        <w:t xml:space="preserve">Architecture notes</w:t>
      </w:r>
    </w:p>
    <w:p>
      <w:pPr>
        <w:pStyle w:val="ListParagraph"/>
        <w:numPr>
          <w:ilvl w:val="0"/>
          <w:numId w:val="2"/>
        </w:numPr>
        <w:spacing w:before="40" w:after="40"/>
      </w:pPr>
      <w:r>
        <w:rPr>
          <w:rFonts w:ascii="Arial" w:cs="Arial" w:eastAsia="Arial" w:hAnsi="Arial"/>
          <w:sz w:val="20"/>
          <w:szCs w:val="20"/>
        </w:rPr>
        <w:t xml:space="preserve">All Socrata API calls should include an app token header (X-App-Token) to avoid rate limiting. Register a free token at data.cincinnati-oh.gov.</w:t>
      </w:r>
    </w:p>
    <w:p>
      <w:pPr>
        <w:pStyle w:val="ListParagraph"/>
        <w:numPr>
          <w:ilvl w:val="0"/>
          <w:numId w:val="2"/>
        </w:numPr>
        <w:spacing w:before="40" w:after="40"/>
      </w:pPr>
      <w:r>
        <w:rPr>
          <w:rFonts w:ascii="Arial" w:cs="Arial" w:eastAsia="Arial" w:hAnsi="Arial"/>
          <w:sz w:val="20"/>
          <w:szCs w:val="20"/>
        </w:rPr>
        <w:t xml:space="preserve">Queries should be client-side (browser directly calls APIs). No proxy server needed unless CORS issues arise with CAGIS endpoints.</w:t>
      </w:r>
    </w:p>
    <w:p>
      <w:pPr>
        <w:pStyle w:val="ListParagraph"/>
        <w:numPr>
          <w:ilvl w:val="0"/>
          <w:numId w:val="2"/>
        </w:numPr>
        <w:spacing w:before="40" w:after="40"/>
      </w:pPr>
      <w:r>
        <w:rPr>
          <w:rFonts w:ascii="Arial" w:cs="Arial" w:eastAsia="Arial" w:hAnsi="Arial"/>
          <w:sz w:val="20"/>
          <w:szCs w:val="20"/>
        </w:rPr>
        <w:t xml:space="preserve">Census API calls require a server-side proxy or serverless function to hide the API key from the browser bundle.</w:t>
      </w:r>
    </w:p>
    <w:p>
      <w:pPr>
        <w:pStyle w:val="ListParagraph"/>
        <w:numPr>
          <w:ilvl w:val="0"/>
          <w:numId w:val="2"/>
        </w:numPr>
        <w:spacing w:before="40" w:after="40"/>
      </w:pPr>
      <w:r>
        <w:rPr>
          <w:rFonts w:ascii="Arial" w:cs="Arial" w:eastAsia="Arial" w:hAnsi="Arial"/>
          <w:sz w:val="20"/>
          <w:szCs w:val="20"/>
        </w:rPr>
        <w:t xml:space="preserve">Build a shared useSODA(datasetId, params) React hook that handles loading, error, and pagination state uniformly across all tabs.</w:t>
      </w:r>
    </w:p>
    <w:p>
      <w:pPr>
        <w:pStyle w:val="ListParagraph"/>
        <w:numPr>
          <w:ilvl w:val="0"/>
          <w:numId w:val="2"/>
        </w:numPr>
        <w:spacing w:before="40" w:after="40"/>
      </w:pPr>
      <w:r>
        <w:rPr>
          <w:rFonts w:ascii="Arial" w:cs="Arial" w:eastAsia="Arial" w:hAnsi="Arial"/>
          <w:sz w:val="20"/>
          <w:szCs w:val="20"/>
        </w:rPr>
        <w:t xml:space="preserve">Language state (EN/ES) should live in a top-level context so toggling language anywhere changes all tabs instantly.</w:t>
      </w:r>
    </w:p>
    <w:p>
      <w:pPr>
        <w:spacing w:before="160" w:after="0"/>
      </w:pPr>
      <w:r>
        <w:t xml:space="preserve"/>
      </w:r>
    </w:p>
    <w:p>
      <w:pPr>
        <w:pBdr>
          <w:bottom w:val="single" w:color="CCCCCC" w:sz="4" w:space="1"/>
        </w:pBdr>
        <w:spacing w:before="200" w:after="200"/>
      </w:pPr>
      <w:r>
        <w:t xml:space="preserve"/>
      </w:r>
    </w:p>
    <w:p>
      <w:pPr>
        <w:pStyle w:val="Heading1"/>
        <w:spacing w:before="360" w:after="160"/>
      </w:pPr>
      <w:r>
        <w:rPr>
          <w:rFonts w:ascii="Arial" w:cs="Arial" w:eastAsia="Arial" w:hAnsi="Arial"/>
          <w:b/>
          <w:bCs/>
          <w:color w:val="1A4A6B"/>
          <w:sz w:val="32"/>
          <w:szCs w:val="32"/>
        </w:rPr>
        <w:t xml:space="preserve">3. Global Requirements (All Tabs)</w:t>
      </w:r>
    </w:p>
    <w:p>
      <w:pPr>
        <w:spacing w:before="200" w:after="80"/>
      </w:pPr>
      <w:r>
        <w:rPr>
          <w:rFonts w:ascii="Arial" w:cs="Arial" w:eastAsia="Arial" w:hAnsi="Arial"/>
          <w:b/>
          <w:bCs/>
          <w:color w:val="2C6B9A"/>
          <w:sz w:val="22"/>
          <w:szCs w:val="22"/>
        </w:rPr>
        <w:t xml:space="preserve">Bilingual support (English / Spanish)</w:t>
      </w:r>
    </w:p>
    <w:p>
      <w:pPr>
        <w:spacing w:before="60" w:after="60"/>
      </w:pPr>
      <w:r>
        <w:rPr>
          <w:rFonts w:ascii="Arial" w:cs="Arial" w:eastAsia="Arial" w:hAnsi="Arial"/>
          <w:sz w:val="20"/>
          <w:szCs w:val="20"/>
        </w:rPr>
        <w:t xml:space="preserve">Every string visible to the user must be externalized into i18n translation files. This includes labels, placeholder text, error messages, data field names, and AI-generated explanations. Use i18next. The language toggle (EN | ES) must be visible in the global navigation, persistent across tabs, and stored in localStorage.</w:t>
      </w:r>
    </w:p>
    <w:p>
      <w:pPr>
        <w:spacing w:before="80" w:after="80"/>
        <w:ind w:left="400"/>
      </w:pPr>
      <w:r>
        <w:rPr>
          <w:rFonts w:ascii="Arial" w:cs="Arial" w:eastAsia="Arial" w:hAnsi="Arial"/>
          <w:i/>
          <w:iCs/>
          <w:color w:val="8B6914"/>
          <w:sz w:val="20"/>
          <w:szCs w:val="20"/>
        </w:rPr>
        <w:t xml:space="preserve">⚠ AI-generated explanations (Claude API responses) must be prompted in the user's selected language. Include the instruction 'Respond in {language}' in every system prompt sent to the API.</w:t>
      </w:r>
    </w:p>
    <w:p>
      <w:pPr>
        <w:spacing w:before="100" w:after="0"/>
      </w:pPr>
      <w:r>
        <w:t xml:space="preserve"/>
      </w:r>
    </w:p>
    <w:p>
      <w:pPr>
        <w:spacing w:before="200" w:after="80"/>
      </w:pPr>
      <w:r>
        <w:rPr>
          <w:rFonts w:ascii="Arial" w:cs="Arial" w:eastAsia="Arial" w:hAnsi="Arial"/>
          <w:b/>
          <w:bCs/>
          <w:color w:val="2C6B9A"/>
          <w:sz w:val="22"/>
          <w:szCs w:val="22"/>
        </w:rPr>
        <w:t xml:space="preserve">Consistent interaction pattern</w:t>
      </w:r>
    </w:p>
    <w:p>
      <w:pPr>
        <w:spacing w:before="60" w:after="60"/>
      </w:pPr>
      <w:r>
        <w:rPr>
          <w:rFonts w:ascii="Arial" w:cs="Arial" w:eastAsia="Arial" w:hAnsi="Arial"/>
          <w:sz w:val="20"/>
          <w:szCs w:val="20"/>
        </w:rPr>
        <w:t xml:space="preserve">Each tab should follow the same user experience pattern: (1) user provides input (address, neighborhood, question, or date range), (2) app queries the relevant APIs, (3) results are displayed with clear sourcing ('Data from Cincinnati Open Data Portal, updated daily'), (4) an optional AI summary explains the results in plain language.</w:t>
      </w:r>
    </w:p>
    <w:p>
      <w:pPr>
        <w:spacing w:before="200" w:after="80"/>
      </w:pPr>
      <w:r>
        <w:rPr>
          <w:rFonts w:ascii="Arial" w:cs="Arial" w:eastAsia="Arial" w:hAnsi="Arial"/>
          <w:b/>
          <w:bCs/>
          <w:color w:val="2C6B9A"/>
          <w:sz w:val="22"/>
          <w:szCs w:val="22"/>
        </w:rPr>
        <w:t xml:space="preserve">Data attribution</w:t>
      </w:r>
    </w:p>
    <w:p>
      <w:pPr>
        <w:spacing w:before="60" w:after="60"/>
      </w:pPr>
      <w:r>
        <w:rPr>
          <w:rFonts w:ascii="Arial" w:cs="Arial" w:eastAsia="Arial" w:hAnsi="Arial"/>
          <w:sz w:val="20"/>
          <w:szCs w:val="20"/>
        </w:rPr>
        <w:t xml:space="preserve">Every data display must cite its source dataset and last-updated date, pulled from the API response metadata. Example footer: 'Source: PDI Crime Incidents — Cincinnati Open Data Portal — Updated March 15, 2026.'</w:t>
      </w:r>
    </w:p>
    <w:p>
      <w:pPr>
        <w:spacing w:before="200" w:after="80"/>
      </w:pPr>
      <w:r>
        <w:rPr>
          <w:rFonts w:ascii="Arial" w:cs="Arial" w:eastAsia="Arial" w:hAnsi="Arial"/>
          <w:b/>
          <w:bCs/>
          <w:color w:val="2C6B9A"/>
          <w:sz w:val="22"/>
          <w:szCs w:val="22"/>
        </w:rPr>
        <w:t xml:space="preserve">Accessibility</w:t>
      </w:r>
    </w:p>
    <w:p>
      <w:pPr>
        <w:spacing w:before="60" w:after="60"/>
      </w:pPr>
      <w:r>
        <w:rPr>
          <w:rFonts w:ascii="Arial" w:cs="Arial" w:eastAsia="Arial" w:hAnsi="Arial"/>
          <w:sz w:val="20"/>
          <w:szCs w:val="20"/>
        </w:rPr>
        <w:t xml:space="preserve">All tabs must meet WCAG 2.1 AA. Maps must have text alternatives. Color-coded data must not rely on color alone. All interactive elements must be keyboard-navigable.</w:t>
      </w:r>
    </w:p>
    <w:p>
      <w:pPr>
        <w:pBdr>
          <w:bottom w:val="single" w:color="CCCCCC" w:sz="4" w:space="1"/>
        </w:pBdr>
        <w:spacing w:before="200" w:after="200"/>
      </w:pPr>
      <w:r>
        <w:t xml:space="preserve"/>
      </w:r>
    </w:p>
    <w:p>
      <w:pPr>
        <w:pStyle w:val="Heading1"/>
        <w:spacing w:before="360" w:after="160"/>
      </w:pPr>
      <w:r>
        <w:rPr>
          <w:rFonts w:ascii="Arial" w:cs="Arial" w:eastAsia="Arial" w:hAnsi="Arial"/>
          <w:b/>
          <w:bCs/>
          <w:color w:val="1A4A6B"/>
          <w:sz w:val="32"/>
          <w:szCs w:val="32"/>
        </w:rPr>
        <w:t xml:space="preserve">4. Tab Specifications</w:t>
      </w:r>
    </w:p>
    <w:p>
      <w:pPr>
        <w:pStyle w:val="Heading2"/>
        <w:spacing w:before="280" w:after="120"/>
      </w:pPr>
      <w:r>
        <w:rPr>
          <w:rFonts w:ascii="Arial" w:cs="Arial" w:eastAsia="Arial" w:hAnsi="Arial"/>
          <w:b/>
          <w:bCs/>
          <w:color w:val="1A4A6B"/>
          <w:sz w:val="26"/>
          <w:szCs w:val="26"/>
        </w:rPr>
        <w:t xml:space="preserve">Tab 1: Address Lookup</w:t>
      </w:r>
    </w:p>
    <w:p>
      <w:pPr>
        <w:spacing w:before="60" w:after="60"/>
      </w:pPr>
      <w:r>
        <w:rPr>
          <w:rFonts w:ascii="Arial" w:cs="Arial" w:eastAsia="Arial" w:hAnsi="Arial"/>
          <w:sz w:val="20"/>
          <w:szCs w:val="20"/>
        </w:rPr>
        <w:t xml:space="preserve">Purpose: Give any Cincinnati resident a complete picture of the public record for a specific address — building history, code compliance, crime context, transit access, and housing equity context. Most useful for renters, prospective tenants, housing advocates, and journalists.</w:t>
      </w:r>
    </w:p>
    <w:p>
      <w:pPr>
        <w:spacing w:before="200" w:after="80"/>
      </w:pPr>
      <w:r>
        <w:rPr>
          <w:rFonts w:ascii="Arial" w:cs="Arial" w:eastAsia="Arial" w:hAnsi="Arial"/>
          <w:b/>
          <w:bCs/>
          <w:color w:val="2C6B9A"/>
          <w:sz w:val="22"/>
          <w:szCs w:val="22"/>
        </w:rPr>
        <w:t xml:space="preserve">User input</w:t>
      </w:r>
    </w:p>
    <w:p>
      <w:pPr>
        <w:pStyle w:val="ListParagraph"/>
        <w:numPr>
          <w:ilvl w:val="0"/>
          <w:numId w:val="2"/>
        </w:numPr>
        <w:spacing w:before="40" w:after="40"/>
      </w:pPr>
      <w:r>
        <w:rPr>
          <w:rFonts w:ascii="Arial" w:cs="Arial" w:eastAsia="Arial" w:hAnsi="Arial"/>
          <w:sz w:val="20"/>
          <w:szCs w:val="20"/>
        </w:rPr>
        <w:t xml:space="preserve">Address search field with geocoding (convert address to lat/lng for spatial queries)</w:t>
      </w:r>
    </w:p>
    <w:p>
      <w:pPr>
        <w:pStyle w:val="ListParagraph"/>
        <w:numPr>
          <w:ilvl w:val="0"/>
          <w:numId w:val="2"/>
        </w:numPr>
        <w:spacing w:before="40" w:after="40"/>
      </w:pPr>
      <w:r>
        <w:rPr>
          <w:rFonts w:ascii="Arial" w:cs="Arial" w:eastAsia="Arial" w:hAnsi="Arial"/>
          <w:sz w:val="20"/>
          <w:szCs w:val="20"/>
        </w:rPr>
        <w:t xml:space="preserve">Autocomplete should suggest valid Cincinnati addresses</w:t>
      </w:r>
    </w:p>
    <w:p>
      <w:pPr>
        <w:spacing w:before="200" w:after="80"/>
      </w:pPr>
      <w:r>
        <w:rPr>
          <w:rFonts w:ascii="Arial" w:cs="Arial" w:eastAsia="Arial" w:hAnsi="Arial"/>
          <w:b/>
          <w:bCs/>
          <w:color w:val="2C6B9A"/>
          <w:sz w:val="22"/>
          <w:szCs w:val="22"/>
        </w:rPr>
        <w:t xml:space="preserve">Data displayed per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63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18"/>
                <w:szCs w:val="18"/>
              </w:rPr>
              <w:t xml:space="preserve">Dataset &amp; API endpoint</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Building permits</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Cincinnati Building Permits
https://data.cincinnati-oh.gov/resource/tsjj-dcaf.json
$where=address LIKE '%{street}%'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Inspections &amp; violations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Inspections &amp; Certificates
https://data.cincinnati-oh.gov/resource/ivda-umw7.json
Filter by address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Tax abatement status</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Residential Tax Abatements (Current)
https://data.cincinnati-oh.gov/resource/tkp7-yf64.json
Filter by address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Nearby crime incidents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PDI Crime Incidents
https://data.cincinnati-oh.gov/resource/k59e-2pvf.json
$where=within_circle(location, {lat}, {lng}, 400)</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Blight/lot abatement</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Private Lot Abatement Program
https://data.cincinnati-oh.gov/resource/pk9w-99n6.json
Filter by address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Transit proximity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SORTA GTFS stops.txt — calculate nearest bus stops within 0.5 miles of address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Neighborhood</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CAGIS neighborhood boundaries — spatial join to determine which neighborhood the address falls in</w:t>
            </w:r>
          </w:p>
        </w:tc>
      </w:tr>
    </w:tbl>
    <w:p>
      <w:pPr>
        <w:spacing w:before="120" w:after="0"/>
      </w:pPr>
      <w:r>
        <w:t xml:space="preserve"/>
      </w:r>
    </w:p>
    <w:p>
      <w:pPr>
        <w:spacing w:before="80" w:after="80"/>
        <w:ind w:left="400"/>
      </w:pPr>
      <w:r>
        <w:rPr>
          <w:rFonts w:ascii="Arial" w:cs="Arial" w:eastAsia="Arial" w:hAnsi="Arial"/>
          <w:i/>
          <w:iCs/>
          <w:color w:val="8B6914"/>
          <w:sz w:val="20"/>
          <w:szCs w:val="20"/>
        </w:rPr>
        <w:t xml:space="preserve">⚠ The crime data privacy disclaimer must be displayed prominently: 'Addresses in this data are approximate (last two digits replaced). Locations are skewed within the same block for privacy.'</w:t>
      </w:r>
    </w:p>
    <w:p>
      <w:pPr>
        <w:spacing w:before="80" w:after="80"/>
        <w:ind w:left="400"/>
      </w:pPr>
      <w:r>
        <w:rPr>
          <w:rFonts w:ascii="Arial" w:cs="Arial" w:eastAsia="Arial" w:hAnsi="Arial"/>
          <w:i/>
          <w:iCs/>
          <w:color w:val="8B6914"/>
          <w:sz w:val="20"/>
          <w:szCs w:val="20"/>
        </w:rPr>
        <w:t xml:space="preserve">⚠ 'City council decision impacts' was considered but Cincinnati does not publish structured council voting data via API. This feature is out of scope for v1. Council meeting minutes are available as PDFs only and would require a separate scraping/ingestion pipeline.</w:t>
      </w:r>
    </w:p>
    <w:p>
      <w:pPr>
        <w:spacing w:before="200" w:after="80"/>
      </w:pPr>
      <w:r>
        <w:rPr>
          <w:rFonts w:ascii="Arial" w:cs="Arial" w:eastAsia="Arial" w:hAnsi="Arial"/>
          <w:b/>
          <w:bCs/>
          <w:color w:val="2C6B9A"/>
          <w:sz w:val="22"/>
          <w:szCs w:val="22"/>
        </w:rPr>
        <w:t xml:space="preserve">AI summary</w:t>
      </w:r>
    </w:p>
    <w:p>
      <w:pPr>
        <w:spacing w:before="60" w:after="60"/>
      </w:pPr>
      <w:r>
        <w:rPr>
          <w:rFonts w:ascii="Arial" w:cs="Arial" w:eastAsia="Arial" w:hAnsi="Arial"/>
          <w:sz w:val="20"/>
          <w:szCs w:val="20"/>
        </w:rPr>
        <w:t xml:space="preserve">After loading address data, offer an optional 'Explain this record' button that sends the retrieved data to the Claude API and returns a plain-language 2-3 paragraph summary in the user's language. The summary should highlight anything notable (e.g., open code violations, active tax abatement, high nearby crime relative to neighborhood average).</w:t>
      </w:r>
    </w:p>
    <w:p>
      <w:pPr>
        <w:spacing w:before="200" w:after="80"/>
      </w:pPr>
      <w:r>
        <w:rPr>
          <w:rFonts w:ascii="Arial" w:cs="Arial" w:eastAsia="Arial" w:hAnsi="Arial"/>
          <w:b/>
          <w:bCs/>
          <w:color w:val="2C6B9A"/>
          <w:sz w:val="22"/>
          <w:szCs w:val="22"/>
        </w:rPr>
        <w:t xml:space="preserve">Display</w:t>
      </w:r>
    </w:p>
    <w:p>
      <w:pPr>
        <w:pStyle w:val="ListParagraph"/>
        <w:numPr>
          <w:ilvl w:val="0"/>
          <w:numId w:val="2"/>
        </w:numPr>
        <w:spacing w:before="40" w:after="40"/>
      </w:pPr>
      <w:r>
        <w:rPr>
          <w:rFonts w:ascii="Arial" w:cs="Arial" w:eastAsia="Arial" w:hAnsi="Arial"/>
          <w:sz w:val="20"/>
          <w:szCs w:val="20"/>
        </w:rPr>
        <w:t xml:space="preserve">Card-based layout, one card per data category</w:t>
      </w:r>
    </w:p>
    <w:p>
      <w:pPr>
        <w:pStyle w:val="ListParagraph"/>
        <w:numPr>
          <w:ilvl w:val="0"/>
          <w:numId w:val="2"/>
        </w:numPr>
        <w:spacing w:before="40" w:after="40"/>
      </w:pPr>
      <w:r>
        <w:rPr>
          <w:rFonts w:ascii="Arial" w:cs="Arial" w:eastAsia="Arial" w:hAnsi="Arial"/>
          <w:sz w:val="20"/>
          <w:szCs w:val="20"/>
        </w:rPr>
        <w:t xml:space="preserve">Each card shows a count/status plus a 'View all' expandable list</w:t>
      </w:r>
    </w:p>
    <w:p>
      <w:pPr>
        <w:pStyle w:val="ListParagraph"/>
        <w:numPr>
          <w:ilvl w:val="0"/>
          <w:numId w:val="2"/>
        </w:numPr>
        <w:spacing w:before="40" w:after="40"/>
      </w:pPr>
      <w:r>
        <w:rPr>
          <w:rFonts w:ascii="Arial" w:cs="Arial" w:eastAsia="Arial" w:hAnsi="Arial"/>
          <w:sz w:val="20"/>
          <w:szCs w:val="20"/>
        </w:rPr>
        <w:t xml:space="preserve">A small map showing the address pin and nearby crime incidents (blurred to block level per privacy rules)</w:t>
      </w:r>
    </w:p>
    <w:p>
      <w:pPr>
        <w:spacing w:before="160" w:after="0"/>
      </w:pPr>
      <w:r>
        <w:t xml:space="preserve"/>
      </w:r>
    </w:p>
    <w:p>
      <w:pPr>
        <w:pStyle w:val="Heading2"/>
        <w:spacing w:before="280" w:after="120"/>
      </w:pPr>
      <w:r>
        <w:rPr>
          <w:rFonts w:ascii="Arial" w:cs="Arial" w:eastAsia="Arial" w:hAnsi="Arial"/>
          <w:b/>
          <w:bCs/>
          <w:color w:val="1A4A6B"/>
          <w:sz w:val="26"/>
          <w:szCs w:val="26"/>
        </w:rPr>
        <w:t xml:space="preserve">Tab 2: Neighborhood Profiles</w:t>
      </w:r>
    </w:p>
    <w:p>
      <w:pPr>
        <w:spacing w:before="60" w:after="60"/>
      </w:pPr>
      <w:r>
        <w:rPr>
          <w:rFonts w:ascii="Arial" w:cs="Arial" w:eastAsia="Arial" w:hAnsi="Arial"/>
          <w:sz w:val="20"/>
          <w:szCs w:val="20"/>
        </w:rPr>
        <w:t xml:space="preserve">Purpose: Generate a printable, shareable data profile for any Cincinnati neighborhood. Intended for community council meetings, grant applications, neighborhood advocacy, and organizing work. Printable means clean layout, no navigation chrome, and readable at 8.5x11.</w:t>
      </w:r>
    </w:p>
    <w:p>
      <w:pPr>
        <w:spacing w:before="200" w:after="80"/>
      </w:pPr>
      <w:r>
        <w:rPr>
          <w:rFonts w:ascii="Arial" w:cs="Arial" w:eastAsia="Arial" w:hAnsi="Arial"/>
          <w:b/>
          <w:bCs/>
          <w:color w:val="2C6B9A"/>
          <w:sz w:val="22"/>
          <w:szCs w:val="22"/>
        </w:rPr>
        <w:t xml:space="preserve">User input</w:t>
      </w:r>
    </w:p>
    <w:p>
      <w:pPr>
        <w:pStyle w:val="ListParagraph"/>
        <w:numPr>
          <w:ilvl w:val="0"/>
          <w:numId w:val="2"/>
        </w:numPr>
        <w:spacing w:before="40" w:after="40"/>
      </w:pPr>
      <w:r>
        <w:rPr>
          <w:rFonts w:ascii="Arial" w:cs="Arial" w:eastAsia="Arial" w:hAnsi="Arial"/>
          <w:sz w:val="20"/>
          <w:szCs w:val="20"/>
        </w:rPr>
        <w:t xml:space="preserve">Neighborhood selector (dropdown populated from the 52 Cincinnati neighborhoods)</w:t>
      </w:r>
    </w:p>
    <w:p>
      <w:pPr>
        <w:pStyle w:val="ListParagraph"/>
        <w:numPr>
          <w:ilvl w:val="0"/>
          <w:numId w:val="2"/>
        </w:numPr>
        <w:spacing w:before="40" w:after="40"/>
      </w:pPr>
      <w:r>
        <w:rPr>
          <w:rFonts w:ascii="Arial" w:cs="Arial" w:eastAsia="Arial" w:hAnsi="Arial"/>
          <w:sz w:val="20"/>
          <w:szCs w:val="20"/>
        </w:rPr>
        <w:t xml:space="preserve">Optional: date range filter for time-sensitive data (crime, permits)</w:t>
      </w:r>
    </w:p>
    <w:p>
      <w:pPr>
        <w:spacing w:before="200" w:after="80"/>
      </w:pPr>
      <w:r>
        <w:rPr>
          <w:rFonts w:ascii="Arial" w:cs="Arial" w:eastAsia="Arial" w:hAnsi="Arial"/>
          <w:b/>
          <w:bCs/>
          <w:color w:val="2C6B9A"/>
          <w:sz w:val="22"/>
          <w:szCs w:val="22"/>
        </w:rPr>
        <w:t xml:space="preserve">Data displayed per neighborhood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63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Crime incidents</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Last 12 months, broken down by offense type. Show trend vs. prior 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Building permits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Count by type (residential, commercial, demolition). Flag demolition permits specifically as relevant to displacement advocacy.</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Food safety violations</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Restaurants with active violations in the neighborhood.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Tax abatements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 of active abatements and estimated value. Relevant for equity discussions.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Blight/PLAP properties</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Count of properties in the Private Lot Abatement Program.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Community perceptions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Pull from 2025 Community Perceptions Survey dataset if neighborhood is represented.</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Fire &amp; EMS incidents</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Response volume as a service-level indicator.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Income vs. housing 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From Census ACS data. Show median household income, median gross rent, and rent-burden rate (% households paying &gt;30% income on housing). See Tab 6 for heatmap; this tab shows the numbers for the selected neighborhood.</w:t>
            </w:r>
          </w:p>
        </w:tc>
      </w:tr>
    </w:tbl>
    <w:p>
      <w:pPr>
        <w:spacing w:before="120" w:after="0"/>
      </w:pPr>
      <w:r>
        <w:t xml:space="preserve"/>
      </w:r>
    </w:p>
    <w:p>
      <w:pPr>
        <w:spacing w:before="200" w:after="80"/>
      </w:pPr>
      <w:r>
        <w:rPr>
          <w:rFonts w:ascii="Arial" w:cs="Arial" w:eastAsia="Arial" w:hAnsi="Arial"/>
          <w:b/>
          <w:bCs/>
          <w:color w:val="2C6B9A"/>
          <w:sz w:val="22"/>
          <w:szCs w:val="22"/>
        </w:rPr>
        <w:t xml:space="preserve">Print layout</w:t>
      </w:r>
    </w:p>
    <w:p>
      <w:pPr>
        <w:spacing w:before="60" w:after="60"/>
      </w:pPr>
      <w:r>
        <w:rPr>
          <w:rFonts w:ascii="Arial" w:cs="Arial" w:eastAsia="Arial" w:hAnsi="Arial"/>
          <w:sz w:val="20"/>
          <w:szCs w:val="20"/>
        </w:rPr>
        <w:t xml:space="preserve">The print view must be triggered by a 'Print / Save as PDF' button that applies a print-specific CSS stylesheet. The print layout should: (1) hide navigation, tabs, and buttons, (2) show a header with the neighborhood name, city seal placeholder, and date generated, (3) display all data in a clean single-column format, (4) include source attribution at the bottom of each section, (5) fit on 2-3 pages at standard margins.</w:t>
      </w:r>
    </w:p>
    <w:p>
      <w:pPr>
        <w:spacing w:before="80" w:after="80"/>
        <w:ind w:left="400"/>
      </w:pPr>
      <w:r>
        <w:rPr>
          <w:rFonts w:ascii="Arial" w:cs="Arial" w:eastAsia="Arial" w:hAnsi="Arial"/>
          <w:i/>
          <w:iCs/>
          <w:color w:val="8B6914"/>
          <w:sz w:val="20"/>
          <w:szCs w:val="20"/>
        </w:rPr>
        <w:t xml:space="preserve">⚠ Use @media print CSS to hide non-printable elements. Do not use a separate route or page for the print view.</w:t>
      </w:r>
    </w:p>
    <w:p>
      <w:pPr>
        <w:spacing w:before="160" w:after="0"/>
      </w:pPr>
      <w:r>
        <w:t xml:space="preserve"/>
      </w:r>
    </w:p>
    <w:p>
      <w:pPr>
        <w:pStyle w:val="Heading2"/>
        <w:spacing w:before="280" w:after="120"/>
      </w:pPr>
      <w:r>
        <w:rPr>
          <w:rFonts w:ascii="Arial" w:cs="Arial" w:eastAsia="Arial" w:hAnsi="Arial"/>
          <w:b/>
          <w:bCs/>
          <w:color w:val="1A4A6B"/>
          <w:sz w:val="26"/>
          <w:szCs w:val="26"/>
        </w:rPr>
        <w:t xml:space="preserve">Tab 3: Police Accountability</w:t>
      </w:r>
    </w:p>
    <w:p>
      <w:pPr>
        <w:spacing w:before="60" w:after="60"/>
      </w:pPr>
      <w:r>
        <w:rPr>
          <w:rFonts w:ascii="Arial" w:cs="Arial" w:eastAsia="Arial" w:hAnsi="Arial"/>
          <w:sz w:val="20"/>
          <w:szCs w:val="20"/>
        </w:rPr>
        <w:t xml:space="preserve">Purpose: Make Cincinnati's police transparency datasets queryable in plain English, with visualizations that surface racial disparities, use of force patterns, and geographic concentrations. Intended for journalists, ACLU-type organizations, public defenders, and community advocates.</w:t>
      </w:r>
    </w:p>
    <w:p>
      <w:pPr>
        <w:spacing w:before="200" w:after="80"/>
      </w:pPr>
      <w:r>
        <w:rPr>
          <w:rFonts w:ascii="Arial" w:cs="Arial" w:eastAsia="Arial" w:hAnsi="Arial"/>
          <w:b/>
          <w:bCs/>
          <w:color w:val="2C6B9A"/>
          <w:sz w:val="22"/>
          <w:szCs w:val="22"/>
        </w:rPr>
        <w:t xml:space="preserve">Important data caveats to display prominently</w:t>
      </w:r>
    </w:p>
    <w:p>
      <w:pPr>
        <w:pStyle w:val="ListParagraph"/>
        <w:numPr>
          <w:ilvl w:val="0"/>
          <w:numId w:val="2"/>
        </w:numPr>
        <w:spacing w:before="40" w:after="40"/>
      </w:pPr>
      <w:r>
        <w:rPr>
          <w:rFonts w:ascii="Arial" w:cs="Arial" w:eastAsia="Arial" w:hAnsi="Arial"/>
          <w:sz w:val="20"/>
          <w:szCs w:val="20"/>
        </w:rPr>
        <w:t xml:space="preserve">Traffic stop and pedestrian stop data includes race of the subject. This data is included by the city specifically for accountability purposes (it originates from the Collaborative Agreement).</w:t>
      </w:r>
    </w:p>
    <w:p>
      <w:pPr>
        <w:pStyle w:val="ListParagraph"/>
        <w:numPr>
          <w:ilvl w:val="0"/>
          <w:numId w:val="2"/>
        </w:numPr>
        <w:spacing w:before="40" w:after="40"/>
      </w:pPr>
      <w:r>
        <w:rPr>
          <w:rFonts w:ascii="Arial" w:cs="Arial" w:eastAsia="Arial" w:hAnsi="Arial"/>
          <w:sz w:val="20"/>
          <w:szCs w:val="20"/>
        </w:rPr>
        <w:t xml:space="preserve">Use of force and officer-involved shooting datasets are currently frozen pending CPD's transition to a new records management system. Display this clearly with the freeze date.</w:t>
      </w:r>
    </w:p>
    <w:p>
      <w:pPr>
        <w:pStyle w:val="ListParagraph"/>
        <w:numPr>
          <w:ilvl w:val="0"/>
          <w:numId w:val="2"/>
        </w:numPr>
        <w:spacing w:before="40" w:after="40"/>
      </w:pPr>
      <w:r>
        <w:rPr>
          <w:rFonts w:ascii="Arial" w:cs="Arial" w:eastAsia="Arial" w:hAnsi="Arial"/>
          <w:sz w:val="20"/>
          <w:szCs w:val="20"/>
        </w:rPr>
        <w:t xml:space="preserve">Crime incident data stops at 6/2/2024 (old RMS). A new dataset starts 6/3/2024. Both must be queried and combined for historical analysis.</w:t>
      </w:r>
    </w:p>
    <w:p>
      <w:pPr>
        <w:spacing w:before="200" w:after="80"/>
      </w:pPr>
      <w:r>
        <w:rPr>
          <w:rFonts w:ascii="Arial" w:cs="Arial" w:eastAsia="Arial" w:hAnsi="Arial"/>
          <w:b/>
          <w:bCs/>
          <w:color w:val="2C6B9A"/>
          <w:sz w:val="22"/>
          <w:szCs w:val="22"/>
        </w:rP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3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Traffic stop analysis</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Query PDI Traffic Stops (All Subjects): https://data.cincinnati-oh.gov/resource/ktgf-4sjh.json
Allow filtering by year, district, race. Show: stop counts by race, search rate by race, outcome ('action taken') by race. Display as bar charts with percentage breakdowns.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Pedestrian stop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Query PDI Pedestrian Stops: https://data.cincinnati-oh.gov/resource/jx3x-rh6i.json
Same race/outcome breakdown as traffic stops.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Use of force</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Query Use of Force Incidents: https://data.cincinnati-oh.gov/resource/748b-sht4.json
Link to subjects (4gu6-tz3f) and officers (28j3-kqky) datasets via UNIQUE_REPORT_ID.
Note: currently frozen. Display last available data with freeze notice.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Officer-involved shootings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Query OIS: https://data.cincinnati-oh.gov/resource/r6q4-muts.json
Timeline view, neighborhood filter. Frozen dataset — display notice.</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Crime incidents map</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Query combined old+new crime datasets. Heatmap by neighborhood. Filter by offense type and 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Plain-English query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Allow user to type a question (e.g., 'How often were Black drivers searched in District 1 in 2023?'). Claude API interprets the question, constructs the appropriate SODA query, executes it, and returns a plain-language answer with the underlying data table.</w:t>
            </w:r>
          </w:p>
        </w:tc>
      </w:tr>
    </w:tbl>
    <w:p>
      <w:pPr>
        <w:spacing w:before="120" w:after="0"/>
      </w:pPr>
      <w:r>
        <w:t xml:space="preserve"/>
      </w:r>
    </w:p>
    <w:p>
      <w:pPr>
        <w:spacing w:before="200" w:after="80"/>
      </w:pPr>
      <w:r>
        <w:rPr>
          <w:rFonts w:ascii="Arial" w:cs="Arial" w:eastAsia="Arial" w:hAnsi="Arial"/>
          <w:b/>
          <w:bCs/>
          <w:color w:val="2C6B9A"/>
          <w:sz w:val="22"/>
          <w:szCs w:val="22"/>
        </w:rPr>
        <w:t xml:space="preserve">Sensitive content handling</w:t>
      </w:r>
    </w:p>
    <w:p>
      <w:pPr>
        <w:spacing w:before="60" w:after="60"/>
      </w:pPr>
      <w:r>
        <w:rPr>
          <w:rFonts w:ascii="Arial" w:cs="Arial" w:eastAsia="Arial" w:hAnsi="Arial"/>
          <w:sz w:val="20"/>
          <w:szCs w:val="20"/>
        </w:rPr>
        <w:t xml:space="preserve">This tab surfaces data about racial disparities in policing. The AI summaries must be factual and non-editorializing — they should describe what the data shows without making causal claims. Include a disclaimer: 'This data is published by the City of Cincinnati for public accountability purposes. Patterns in the data do not establish intent or cause.'</w:t>
      </w:r>
    </w:p>
    <w:p>
      <w:pPr>
        <w:spacing w:before="160" w:after="0"/>
      </w:pPr>
      <w:r>
        <w:t xml:space="preserve"/>
      </w:r>
    </w:p>
    <w:p>
      <w:pPr>
        <w:pStyle w:val="Heading2"/>
        <w:spacing w:before="280" w:after="120"/>
      </w:pPr>
      <w:r>
        <w:rPr>
          <w:rFonts w:ascii="Arial" w:cs="Arial" w:eastAsia="Arial" w:hAnsi="Arial"/>
          <w:b/>
          <w:bCs/>
          <w:color w:val="1A4A6B"/>
          <w:sz w:val="26"/>
          <w:szCs w:val="26"/>
        </w:rPr>
        <w:t xml:space="preserve">Tab 4: Neighborhood Explorer</w:t>
      </w:r>
    </w:p>
    <w:p>
      <w:pPr>
        <w:spacing w:before="60" w:after="60"/>
      </w:pPr>
      <w:r>
        <w:rPr>
          <w:rFonts w:ascii="Arial" w:cs="Arial" w:eastAsia="Arial" w:hAnsi="Arial"/>
          <w:sz w:val="20"/>
          <w:szCs w:val="20"/>
        </w:rPr>
        <w:t xml:space="preserve">Purpose: Help residents find neighborhoods that match what matters to them, without imposing a single definition of 'best.' Instead of a fixed ranking, the user controls which factors they care about and the map responds accordingly. There is no correct answer — the tool makes the tradeoffs visible and lets the user decide.</w:t>
      </w:r>
    </w:p>
    <w:p>
      <w:pPr>
        <w:spacing w:before="200" w:after="80"/>
      </w:pPr>
      <w:r>
        <w:rPr>
          <w:rFonts w:ascii="Arial" w:cs="Arial" w:eastAsia="Arial" w:hAnsi="Arial"/>
          <w:b/>
          <w:bCs/>
          <w:color w:val="2C6B9A"/>
          <w:sz w:val="22"/>
          <w:szCs w:val="22"/>
        </w:rPr>
        <w:t xml:space="preserve">Core interaction model</w:t>
      </w:r>
    </w:p>
    <w:p>
      <w:pPr>
        <w:spacing w:before="60" w:after="60"/>
      </w:pPr>
      <w:r>
        <w:rPr>
          <w:rFonts w:ascii="Arial" w:cs="Arial" w:eastAsia="Arial" w:hAnsi="Arial"/>
          <w:sz w:val="20"/>
          <w:szCs w:val="20"/>
        </w:rPr>
        <w:t xml:space="preserve">The tab presents a choropleth map of Cincinnati's 52 neighborhoods alongside a panel of comparison dimensions. Each dimension has a toggle (include / exclude) and, when included, a weight slider (1–5 stars). As the user adjusts toggles and weights, the map re-shades in real time to reflect their priorities. A sidebar shows the top 5 neighborhoods matching the current weighting, with a plain-language summary of each.</w:t>
      </w:r>
    </w:p>
    <w:p>
      <w:pPr>
        <w:spacing w:before="80" w:after="80"/>
        <w:ind w:left="400"/>
      </w:pPr>
      <w:r>
        <w:rPr>
          <w:rFonts w:ascii="Arial" w:cs="Arial" w:eastAsia="Arial" w:hAnsi="Arial"/>
          <w:i/>
          <w:iCs/>
          <w:color w:val="8B6914"/>
          <w:sz w:val="20"/>
          <w:szCs w:val="20"/>
        </w:rPr>
        <w:t xml:space="preserve">⚠ This is not a ranking tool. The map shading reflects the user's stated priorities applied to available data. The methodology must be shown to users on demand via an 'How is this calculated?' link, which expands an explanation of the formula and data sources used.</w:t>
      </w:r>
    </w:p>
    <w:p>
      <w:pPr>
        <w:spacing w:before="200" w:after="80"/>
      </w:pPr>
      <w:r>
        <w:rPr>
          <w:rFonts w:ascii="Arial" w:cs="Arial" w:eastAsia="Arial" w:hAnsi="Arial"/>
          <w:b/>
          <w:bCs/>
          <w:color w:val="2C6B9A"/>
          <w:sz w:val="22"/>
          <w:szCs w:val="22"/>
        </w:rPr>
        <w:t xml:space="preserve">Comparison dimensions</w:t>
      </w:r>
    </w:p>
    <w:p>
      <w:pPr>
        <w:spacing w:before="60" w:after="60"/>
      </w:pPr>
      <w:r>
        <w:rPr>
          <w:rFonts w:ascii="Arial" w:cs="Arial" w:eastAsia="Arial" w:hAnsi="Arial"/>
          <w:sz w:val="20"/>
          <w:szCs w:val="20"/>
        </w:rPr>
        <w:t xml:space="preserve">Each dimension is a separate, independently togglable lens. Users may enable any combination. All dimensions are off by default — the user builds their own view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3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18"/>
                <w:szCs w:val="18"/>
              </w:rPr>
              <w:t xml:space="preserve">Data source &amp; methodology</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Affordability</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Census ACS 5-Year. Primary metric: rent burden rate (% of households paying &gt;30% of income on housing). Secondary: median gross rent. ACS variables: B25070_007E–010E / B25070_001E for burden; B25064_001E for median rent. Lower burden = higher score on this dimension.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Income level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Census ACS 5-Year. Metric: median household income (B19013_001E). Normalized to city-wide median. User can choose whether higher or lower income neighborhoods score better — since this means different things (affordability vs. wealth) — via a sub-toggle labeled 'I am looking for: lower-cost areas / higher-income areas.'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Safety (crime rate)</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PDI Crime Incidents + Reported Crime STARS datasets. Metric: incidents per 1,000 residents per year, by neighborhood. Population denominator from Census ACS (B01003_001E). Lower rate = higher score. Display the most recent 12 months of data. Note the RMS transition gap prominently.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Transit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SORTA GTFS static feed (stops.txt + routes.txt). Metric: number of unique bus routes with a stop within 0.4 miles of neighborhood centroid. Neighborhoods are scored by route count, not just stop count, to reward frequency of service rather than just proximity to a single stop.</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Neighborhood investment trajectory</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Cincinnati Building Permits (tsjj-dcaf) + Vision Zero Projects (qwp2-sism). Metric: year-over-year change in permit volume (last 3 years vs. prior 3 years), weighted toward renovation/new construction and away from demolition. Rising investment = higher score. This dimension signals a neighborhood that is improving without necessarily being expensive yet.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Public maintenance &amp; blight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 Lot Abatement Program (pk9w-99n6) + Inspections &amp; Certificates (ivda-umw7). Metric: PLAP activity per square mile (lower = better maintained), combined with proportion of inspections passing on first attempt. Lower blight density = higher score.</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School quality (Cincinnati Public Schools)</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NOT AVAILABLE. Cincinnati Public Schools does not publish structured performance data via a public API. This dimension is visible in the UI but permanently disabled, with a tooltip explaining: 'CPS school performance data is not available via public API and has been excluded. For school information, visit the Ohio Department of Education report card at reportcard.education.ohio.gov.' Do not attempt to proxy or scrape this data.</w:t>
            </w:r>
          </w:p>
        </w:tc>
      </w:tr>
    </w:tbl>
    <w:p>
      <w:pPr>
        <w:spacing w:before="120" w:after="0"/>
      </w:pPr>
      <w:r>
        <w:t xml:space="preserve"/>
      </w:r>
    </w:p>
    <w:p>
      <w:pPr>
        <w:spacing w:before="200" w:after="80"/>
      </w:pPr>
      <w:r>
        <w:rPr>
          <w:rFonts w:ascii="Arial" w:cs="Arial" w:eastAsia="Arial" w:hAnsi="Arial"/>
          <w:b/>
          <w:bCs/>
          <w:color w:val="2C6B9A"/>
          <w:sz w:val="22"/>
          <w:szCs w:val="22"/>
        </w:rPr>
        <w:t xml:space="preserve">Scoring methodology (transparent to users)</w:t>
      </w:r>
    </w:p>
    <w:p>
      <w:pPr>
        <w:spacing w:before="60" w:after="60"/>
      </w:pPr>
      <w:r>
        <w:rPr>
          <w:rFonts w:ascii="Arial" w:cs="Arial" w:eastAsia="Arial" w:hAnsi="Arial"/>
          <w:sz w:val="20"/>
          <w:szCs w:val="20"/>
        </w:rPr>
        <w:t xml:space="preserve">Each enabled dimension produces a score from 0–100 for each neighborhood, normalized across the city (100 = best in class for that dimension, 0 = worst). The final composite score is the weighted average of enabled dimension scores, using the user's star weights. Ties are broken alphabetically. The formula is shown verbatim in the 'How is this calculated?' panel.</w:t>
      </w:r>
    </w:p>
    <w:p>
      <w:pPr>
        <w:spacing w:before="200" w:after="80"/>
      </w:pPr>
      <w:r>
        <w:rPr>
          <w:rFonts w:ascii="Arial" w:cs="Arial" w:eastAsia="Arial" w:hAnsi="Arial"/>
          <w:b/>
          <w:bCs/>
          <w:color w:val="2C6B9A"/>
          <w:sz w:val="22"/>
          <w:szCs w:val="22"/>
        </w:rPr>
        <w:t xml:space="preserve">Map &amp; sidebar display</w:t>
      </w:r>
    </w:p>
    <w:p>
      <w:pPr>
        <w:pStyle w:val="ListParagraph"/>
        <w:numPr>
          <w:ilvl w:val="0"/>
          <w:numId w:val="2"/>
        </w:numPr>
        <w:spacing w:before="40" w:after="40"/>
      </w:pPr>
      <w:r>
        <w:rPr>
          <w:rFonts w:ascii="Arial" w:cs="Arial" w:eastAsia="Arial" w:hAnsi="Arial"/>
          <w:sz w:val="20"/>
          <w:szCs w:val="20"/>
        </w:rPr>
        <w:t xml:space="preserve">Choropleth map: neighborhoods shaded from light (lower composite score) to a deep accent color (higher composite score). Neutral gray for neighborhoods with insufficient data on any enabled dimension.</w:t>
      </w:r>
    </w:p>
    <w:p>
      <w:pPr>
        <w:pStyle w:val="ListParagraph"/>
        <w:numPr>
          <w:ilvl w:val="0"/>
          <w:numId w:val="2"/>
        </w:numPr>
        <w:spacing w:before="40" w:after="40"/>
      </w:pPr>
      <w:r>
        <w:rPr>
          <w:rFonts w:ascii="Arial" w:cs="Arial" w:eastAsia="Arial" w:hAnsi="Arial"/>
          <w:sz w:val="20"/>
          <w:szCs w:val="20"/>
        </w:rPr>
        <w:t xml:space="preserve">Colorblind-safe palette toggle: replace the default color ramp with an accessible blue-to-orange scale.</w:t>
      </w:r>
    </w:p>
    <w:p>
      <w:pPr>
        <w:pStyle w:val="ListParagraph"/>
        <w:numPr>
          <w:ilvl w:val="0"/>
          <w:numId w:val="2"/>
        </w:numPr>
        <w:spacing w:before="40" w:after="40"/>
      </w:pPr>
      <w:r>
        <w:rPr>
          <w:rFonts w:ascii="Arial" w:cs="Arial" w:eastAsia="Arial" w:hAnsi="Arial"/>
          <w:sz w:val="20"/>
          <w:szCs w:val="20"/>
        </w:rPr>
        <w:t xml:space="preserve">Clicking any neighborhood opens a detail drawer showing: its score on each enabled dimension, the raw metric behind each score, and the data source with last-updated date.</w:t>
      </w:r>
    </w:p>
    <w:p>
      <w:pPr>
        <w:pStyle w:val="ListParagraph"/>
        <w:numPr>
          <w:ilvl w:val="0"/>
          <w:numId w:val="2"/>
        </w:numPr>
        <w:spacing w:before="40" w:after="40"/>
      </w:pPr>
      <w:r>
        <w:rPr>
          <w:rFonts w:ascii="Arial" w:cs="Arial" w:eastAsia="Arial" w:hAnsi="Arial"/>
          <w:sz w:val="20"/>
          <w:szCs w:val="20"/>
        </w:rPr>
        <w:t xml:space="preserve">Top 5 sidebar: lists the five highest-scoring neighborhoods with a one-sentence plain-language summary per neighborhood (generated by Claude API, in the user's language).</w:t>
      </w:r>
    </w:p>
    <w:p>
      <w:pPr>
        <w:pStyle w:val="ListParagraph"/>
        <w:numPr>
          <w:ilvl w:val="0"/>
          <w:numId w:val="2"/>
        </w:numPr>
        <w:spacing w:before="40" w:after="40"/>
      </w:pPr>
      <w:r>
        <w:rPr>
          <w:rFonts w:ascii="Arial" w:cs="Arial" w:eastAsia="Arial" w:hAnsi="Arial"/>
          <w:sz w:val="20"/>
          <w:szCs w:val="20"/>
        </w:rPr>
        <w:t xml:space="preserve">Year selector for Census ACS data: offer last 3 available years.</w:t>
      </w:r>
    </w:p>
    <w:p>
      <w:pPr>
        <w:spacing w:before="200" w:after="80"/>
      </w:pPr>
      <w:r>
        <w:rPr>
          <w:rFonts w:ascii="Arial" w:cs="Arial" w:eastAsia="Arial" w:hAnsi="Arial"/>
          <w:b/>
          <w:bCs/>
          <w:color w:val="2C6B9A"/>
          <w:sz w:val="22"/>
          <w:szCs w:val="22"/>
        </w:rPr>
        <w:t xml:space="preserve">Data caveats panel (always visible)</w:t>
      </w:r>
    </w:p>
    <w:p>
      <w:pPr>
        <w:spacing w:before="80" w:after="80"/>
        <w:ind w:left="400"/>
      </w:pPr>
      <w:r>
        <w:rPr>
          <w:rFonts w:ascii="Arial" w:cs="Arial" w:eastAsia="Arial" w:hAnsi="Arial"/>
          <w:i/>
          <w:iCs/>
          <w:color w:val="8B6914"/>
          <w:sz w:val="20"/>
          <w:szCs w:val="20"/>
        </w:rPr>
        <w:t xml:space="preserve">⚠ Census ACS data is survey-based with margins of error. Small neighborhoods may have high uncertainty. Margins of error are shown in the detail drawer.</w:t>
      </w:r>
    </w:p>
    <w:p>
      <w:pPr>
        <w:spacing w:before="80" w:after="80"/>
        <w:ind w:left="400"/>
      </w:pPr>
      <w:r>
        <w:rPr>
          <w:rFonts w:ascii="Arial" w:cs="Arial" w:eastAsia="Arial" w:hAnsi="Arial"/>
          <w:i/>
          <w:iCs/>
          <w:color w:val="8B6914"/>
          <w:sz w:val="20"/>
          <w:szCs w:val="20"/>
        </w:rPr>
        <w:t xml:space="preserve">⚠ Census tract boundaries do not align perfectly with Cincinnati's 52 neighborhood boundaries. Where a tract spans multiple neighborhoods, data is attributed to the neighborhood containing the tract centroid. Ambiguous assignments are flagged in the detail drawer.</w:t>
      </w:r>
    </w:p>
    <w:p>
      <w:pPr>
        <w:spacing w:before="80" w:after="80"/>
        <w:ind w:left="400"/>
      </w:pPr>
      <w:r>
        <w:rPr>
          <w:rFonts w:ascii="Arial" w:cs="Arial" w:eastAsia="Arial" w:hAnsi="Arial"/>
          <w:i/>
          <w:iCs/>
          <w:color w:val="8B6914"/>
          <w:sz w:val="20"/>
          <w:szCs w:val="20"/>
        </w:rPr>
        <w:t xml:space="preserve">⚠ Crime data uses approximate locations (privacy-skewed to block level). Rates per neighborhood are directionally accurate but not precise.</w:t>
      </w:r>
    </w:p>
    <w:p>
      <w:pPr>
        <w:spacing w:before="80" w:after="80"/>
        <w:ind w:left="400"/>
      </w:pPr>
      <w:r>
        <w:rPr>
          <w:rFonts w:ascii="Arial" w:cs="Arial" w:eastAsia="Arial" w:hAnsi="Arial"/>
          <w:i/>
          <w:iCs/>
          <w:color w:val="8B6914"/>
          <w:sz w:val="20"/>
          <w:szCs w:val="20"/>
        </w:rPr>
        <w:t xml:space="preserve">⚠ 'School quality' is explicitly absent from this tool. See dimension table above.</w:t>
      </w:r>
    </w:p>
    <w:p>
      <w:pPr>
        <w:spacing w:before="160" w:after="0"/>
      </w:pPr>
      <w:r>
        <w:t xml:space="preserve"/>
      </w:r>
    </w:p>
    <w:p>
      <w:pPr>
        <w:pBdr>
          <w:bottom w:val="single" w:color="CCCCCC" w:sz="4" w:space="1"/>
        </w:pBdr>
        <w:spacing w:before="200" w:after="200"/>
      </w:pPr>
      <w:r>
        <w:t xml:space="preserve"/>
      </w:r>
    </w:p>
    <w:p>
      <w:pPr>
        <w:pStyle w:val="Heading1"/>
        <w:spacing w:before="360" w:after="160"/>
      </w:pPr>
      <w:r>
        <w:rPr>
          <w:rFonts w:ascii="Arial" w:cs="Arial" w:eastAsia="Arial" w:hAnsi="Arial"/>
          <w:b/>
          <w:bCs/>
          <w:color w:val="1A4A6B"/>
          <w:sz w:val="32"/>
          <w:szCs w:val="32"/>
        </w:rPr>
        <w:t xml:space="preserve">5. Out of Scope for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3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City council voting / decision tracking</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Cincinnati does not publish structured council vote data via API. Meeting minutes are PDFs only. Requires a separate ingestion pipeline — treat as a future v2 feature.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 installation / public art tab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machine-readable, timestamped art installation dataset exists via public API. ArtWorks Cincinnati publishes a PDF map only. Without clean data on both installation locations+dates and a granular revenue signal, any correlation analysis would be misleading. Cut entirely from v1.</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School quality / CPS data (Tab 4)</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Cincinnati Public Schools does not publish structured performance data via public API. Marked as explicitly absent in the Tab 4 UI with a tooltip directing users to Ohio Dept. of Education. Do not attempt to scrape or proxy this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Address lookup tab (Tab 1) — council decisions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City council decision data is not available via structured API. Noted as a future v2 addition requiring a separate ingestion pipeline for council meeting PDFs.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User accounts / saved searches</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Adds auth complexity. Not needed for v1 civic tool.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Real-time 311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Cincinnati does not appear to publish a live 311 API. If discovered, add to Tab 1 in v2.</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Hamilton County parcel-level data</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CAGIS parcel data is available but updates only quarterly. Can be added to Tab 1 in v2 with a data-freshness disclosure.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SORTA real-time bus arrivals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SORTA publishes GTFS-RT but this is distinct from the static route-access analysis used in Tab 4. GTFS-RT integration is a v2 feature.</w:t>
            </w:r>
          </w:p>
        </w:tc>
      </w:tr>
    </w:tbl>
    <w:p>
      <w:pPr>
        <w:spacing w:before="160" w:after="0"/>
      </w:pPr>
      <w:r>
        <w:t xml:space="preserve"/>
      </w:r>
    </w:p>
    <w:p>
      <w:pPr>
        <w:pBdr>
          <w:bottom w:val="single" w:color="CCCCCC" w:sz="4" w:space="1"/>
        </w:pBdr>
        <w:spacing w:before="200" w:after="200"/>
      </w:pPr>
      <w:r>
        <w:t xml:space="preserve"/>
      </w:r>
    </w:p>
    <w:p>
      <w:pPr>
        <w:pStyle w:val="Heading1"/>
        <w:spacing w:before="360" w:after="160"/>
      </w:pPr>
      <w:r>
        <w:rPr>
          <w:rFonts w:ascii="Arial" w:cs="Arial" w:eastAsia="Arial" w:hAnsi="Arial"/>
          <w:b/>
          <w:bCs/>
          <w:color w:val="1A4A6B"/>
          <w:sz w:val="32"/>
          <w:szCs w:val="32"/>
        </w:rPr>
        <w:t xml:space="preserve">6. Dataset Quick Reference</w:t>
      </w:r>
    </w:p>
    <w:p>
      <w:pPr>
        <w:spacing w:before="60" w:after="60"/>
      </w:pPr>
      <w:r>
        <w:rPr>
          <w:rFonts w:ascii="Arial" w:cs="Arial" w:eastAsia="Arial" w:hAnsi="Arial"/>
          <w:sz w:val="20"/>
          <w:szCs w:val="20"/>
        </w:rPr>
        <w:t xml:space="preserve">All Socrata endpoints follow the pattern: GET https://data.cincinnati-oh.gov/resource/{uid}.json</w:t>
      </w:r>
    </w:p>
    <w:p>
      <w:pPr>
        <w:spacing w:before="60" w:after="60"/>
      </w:pPr>
      <w:r>
        <w:rPr>
          <w:rFonts w:ascii="Arial" w:cs="Arial" w:eastAsia="Arial" w:hAnsi="Arial"/>
          <w:sz w:val="20"/>
          <w:szCs w:val="20"/>
        </w:rPr>
        <w:t xml:space="preserve">Append standard SODA query params: ?$limit=1000&amp;$offset=0&amp;$where=...&amp;$select=...&amp;$order=...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18"/>
                <w:szCs w:val="18"/>
              </w:rPr>
              <w:t xml:space="preserve">Dataset name</w:t>
            </w:r>
          </w:p>
        </w:tc>
        <w:tc>
          <w:tcPr>
            <w:tcW w:type="dxa" w:w="61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18"/>
                <w:szCs w:val="18"/>
              </w:rPr>
              <w:t xml:space="preserve">UID  |  Refresh  |  Key fields</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PDI Crime Incidents (to 6/2/2024)</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k59e-2pvf  |  Daily  |  date_reported, offense, neighborhood, latitude, longitude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Reported Crime STARS (from 6/3/2024)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7aqy-xrv9  |  Daily  |  offense_date, offense, neighborhood, latitude, longitude</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Police Calls for Service (CAD)</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wcr9-g4cn  |  Daily  |  create_time_incident, incident_type_desc, district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Traffic Stops - All Subjects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ktgf-4sjh  |  Daily  |  date_of_stop, race, gender, action_taken, district</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Traffic Stops - Drivers only</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hibq-hbnj  |  Daily  |  date_of_stop, race, gender, action_taken, district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Pedestrian Stops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jx3x-rh6i  |  Daily  |  date_of_stop, race, gender, action_taken</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CPD Contact Cards (combined)</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svan-pass  |  Daily  |  Combined traffic + pedestrian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Use of Force - Incidents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748b-sht4  |  Frozen  |  date_of_incident, address, neighborhood</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Use of Force - Subjects</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4gu6-tz3f  |  Frozen  |  Link via unique_report_id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Use of Force - Officers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28j3-kqky  |  Frozen  |  Link via unique_report_id</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OIS - Officer Involved Shootings</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r6q4-muts  |  Frozen  |  date, address, neighborhood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Assaults on Officers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bmmy-avxm  |  Frozen  |  date, address</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Fire / EMS Incidents (CAD)</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vnsz-a3wp  |  Daily  |  create_time, incident_type, neighborhood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Building Permits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tsjj-dcaf  |  Daily  |  applydate, permittype, address, neighborhood</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Building Permits Contacts</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vmk6-gy84  |  Daily  |  Contractor info linked to permits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Inspections &amp; Certificates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ivda-umw7  |  Daily  |  inspecdate, inspecresult, address</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Food Safety Inspections</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rg6p-b3h3  |  Daily  |  inspection_date, facility_name, address, violation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Residential Tax Abatements (Current)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tkp7-yf64  |  Daily  |  address, neighborhood, incentive_amount</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Residential Tax Abatements (Historical)</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6ck4-ukva  |  Daily  |  address, permit_date, incentive_amount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Private Lot Abatement (PLAP)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pk9w-99n6  |  Daily  |  date, address, neighborhood</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DCED City-Owned Properties</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gubx-p4qi  |  Daily  |  address, neighborhood, rfp_status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Vision Zero Projects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qwp2-sism  |  As-needed  |  project_name, neighborhood, year, cost</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Vendor Payments</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nusm-bscm  |  Weekly  |  fiscal_year, department, vendor_name, amount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City Revenue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a9hy-bv25  |  Daily  |  fiscal_year, resource_name, amount</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Department Budgets</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Annual  |  dept_name, fiscal_year, object_category, amount  |  search portal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Employee Salaries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yaws-h72m  |  Daily  |  position_title, salary_min, salary_max</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MBE/WBE Certified Vendors</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2iq3-bugw  |  Weekly  |  vendor_name, certification_type, neighborhood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Streetcar Ridership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wkbu-npen  |  Daily  |  date, ridership_count</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Community Perceptions Survey 2025</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gdf4-fqik  |  Static  |  question, neighborhood, response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Community Council Info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h68y-9f7w  |  Static  |  council_name, neighborhood, contact_info</w:t>
            </w:r>
          </w:p>
        </w:tc>
      </w:tr>
    </w:tbl>
    <w:p>
      <w:pPr>
        <w:spacing w:before="160" w:after="0"/>
      </w:pPr>
      <w:r>
        <w:t xml:space="preserve"/>
      </w:r>
    </w:p>
    <w:p>
      <w:pPr>
        <w:pBdr>
          <w:bottom w:val="single" w:color="CCCCCC" w:sz="4" w:space="1"/>
        </w:pBdr>
        <w:spacing w:before="200" w:after="200"/>
      </w:pPr>
      <w:r>
        <w:t xml:space="preserve"/>
      </w:r>
    </w:p>
    <w:p>
      <w:pPr>
        <w:pStyle w:val="Heading1"/>
        <w:spacing w:before="360" w:after="160"/>
      </w:pPr>
      <w:r>
        <w:rPr>
          <w:rFonts w:ascii="Arial" w:cs="Arial" w:eastAsia="Arial" w:hAnsi="Arial"/>
          <w:b/>
          <w:bCs/>
          <w:color w:val="1A4A6B"/>
          <w:sz w:val="32"/>
          <w:szCs w:val="32"/>
        </w:rPr>
        <w:t xml:space="preserve">7. Claude API Integration</w:t>
      </w:r>
    </w:p>
    <w:p>
      <w:pPr>
        <w:spacing w:before="60" w:after="60"/>
      </w:pPr>
      <w:r>
        <w:rPr>
          <w:rFonts w:ascii="Arial" w:cs="Arial" w:eastAsia="Arial" w:hAnsi="Arial"/>
          <w:sz w:val="20"/>
          <w:szCs w:val="20"/>
        </w:rPr>
        <w:t xml:space="preserve">Use model: claude-sonnet-4-20250514. Max tokens: 1000 per response. The API is used in three ways across the application:</w:t>
      </w:r>
    </w:p>
    <w:p>
      <w:pPr>
        <w:spacing w:before="200" w:after="80"/>
      </w:pPr>
      <w:r>
        <w:rPr>
          <w:rFonts w:ascii="Arial" w:cs="Arial" w:eastAsia="Arial" w:hAnsi="Arial"/>
          <w:b/>
          <w:bCs/>
          <w:color w:val="2C6B9A"/>
          <w:sz w:val="22"/>
          <w:szCs w:val="22"/>
        </w:rPr>
        <w:t xml:space="preserve">1. Plain-English query interpretation (Tab 3)</w:t>
      </w:r>
    </w:p>
    <w:p>
      <w:pPr>
        <w:spacing w:before="60" w:after="60"/>
      </w:pPr>
      <w:r>
        <w:rPr>
          <w:rFonts w:ascii="Arial" w:cs="Arial" w:eastAsia="Arial" w:hAnsi="Arial"/>
          <w:sz w:val="20"/>
          <w:szCs w:val="20"/>
        </w:rPr>
        <w:t xml:space="preserve">User types a natural language question. Claude interprets it, generates a SODA query, and the app executes the query and returns results. Claude then summarizes the results. The system prompt must include the available dataset fields so Claude can construct valid queries.</w:t>
      </w:r>
    </w:p>
    <w:p>
      <w:pPr>
        <w:shd w:fill="F0F4F8" w:val="clear"/>
        <w:spacing w:before="40" w:after="40"/>
        <w:ind w:left="720"/>
      </w:pPr>
      <w:r>
        <w:rPr>
          <w:rFonts w:ascii="Courier New" w:cs="Courier New" w:eastAsia="Courier New" w:hAnsi="Courier New"/>
          <w:color w:val="1A4A6B"/>
          <w:sz w:val="18"/>
          <w:szCs w:val="18"/>
        </w:rPr>
        <w:t xml:space="preserve">System: You are a civic data assistant for Cincinnati, Ohio. You help users query the city's open data. When given a question, first identify which dataset(s) are relevant, then construct a valid Socrata SODA API query ($where, $select, $group, $order params), then explain the results in plain language. Respond in {language}. Available datasets: [list]. Current dataset fields: [list].</w:t>
      </w:r>
    </w:p>
    <w:p>
      <w:pPr>
        <w:spacing w:before="200" w:after="80"/>
      </w:pPr>
      <w:r>
        <w:rPr>
          <w:rFonts w:ascii="Arial" w:cs="Arial" w:eastAsia="Arial" w:hAnsi="Arial"/>
          <w:b/>
          <w:bCs/>
          <w:color w:val="2C6B9A"/>
          <w:sz w:val="22"/>
          <w:szCs w:val="22"/>
        </w:rPr>
        <w:t xml:space="preserve">2. Address record summaries (Tab 1)</w:t>
      </w:r>
    </w:p>
    <w:p>
      <w:pPr>
        <w:spacing w:before="60" w:after="60"/>
      </w:pPr>
      <w:r>
        <w:rPr>
          <w:rFonts w:ascii="Arial" w:cs="Arial" w:eastAsia="Arial" w:hAnsi="Arial"/>
          <w:sz w:val="20"/>
          <w:szCs w:val="20"/>
        </w:rPr>
        <w:t xml:space="preserve">After fetching all data for an address, pass the structured results to Claude for a plain-language summary. Include the raw data in the user message.</w:t>
      </w:r>
    </w:p>
    <w:p>
      <w:pPr>
        <w:spacing w:before="200" w:after="80"/>
      </w:pPr>
      <w:r>
        <w:rPr>
          <w:rFonts w:ascii="Arial" w:cs="Arial" w:eastAsia="Arial" w:hAnsi="Arial"/>
          <w:b/>
          <w:bCs/>
          <w:color w:val="2C6B9A"/>
          <w:sz w:val="22"/>
          <w:szCs w:val="22"/>
        </w:rPr>
        <w:t xml:space="preserve">4. Neighborhood Explorer summaries (Tab 4)</w:t>
      </w:r>
    </w:p>
    <w:p>
      <w:pPr>
        <w:spacing w:before="60" w:after="60"/>
      </w:pPr>
      <w:r>
        <w:rPr>
          <w:rFonts w:ascii="Arial" w:cs="Arial" w:eastAsia="Arial" w:hAnsi="Arial"/>
          <w:sz w:val="20"/>
          <w:szCs w:val="20"/>
        </w:rPr>
        <w:t xml:space="preserve">After the user configures their weights and the map settles, generate plain-language one-sentence descriptions for the top 5 neighborhoods. Pass each neighborhood's dimension scores and raw metrics to Claude. Keep responses very short — one sentence per neighborhood, factual, non-editorializing. Example output: 'Northside scores well on affordability and transit access, with a rent burden rate of 28% and 6 bus routes within walking distance.'</w:t>
      </w:r>
    </w:p>
    <w:p>
      <w:pPr>
        <w:spacing w:before="80" w:after="80"/>
        <w:ind w:left="400"/>
      </w:pPr>
      <w:r>
        <w:rPr>
          <w:rFonts w:ascii="Arial" w:cs="Arial" w:eastAsia="Arial" w:hAnsi="Arial"/>
          <w:i/>
          <w:iCs/>
          <w:color w:val="8B6914"/>
          <w:sz w:val="20"/>
          <w:szCs w:val="20"/>
        </w:rPr>
        <w:t xml:space="preserve">⚠ Every Claude API call must include 'Respond in {language}' in the system prompt, where {language} is either 'English' or 'Spanish' based on the user's current language selection.</w:t>
      </w:r>
    </w:p>
    <w:p>
      <w:pPr>
        <w:spacing w:before="80" w:after="80"/>
        <w:ind w:left="400"/>
      </w:pPr>
      <w:r>
        <w:rPr>
          <w:rFonts w:ascii="Arial" w:cs="Arial" w:eastAsia="Arial" w:hAnsi="Arial"/>
          <w:i/>
          <w:iCs/>
          <w:color w:val="8B6914"/>
          <w:sz w:val="20"/>
          <w:szCs w:val="20"/>
        </w:rPr>
        <w:t xml:space="preserve">⚠ Never send personally identifiable information to the Claude API. The datasets are already anonymized per city privacy policy.</w:t>
      </w:r>
    </w:p>
    <w:p>
      <w:pPr>
        <w:spacing w:before="160" w:after="0"/>
      </w:pPr>
      <w:r>
        <w:t xml:space="preserve"/>
      </w:r>
    </w:p>
    <w:p>
      <w:pPr>
        <w:pBdr>
          <w:bottom w:val="single" w:color="CCCCCC" w:sz="4" w:space="1"/>
        </w:pBdr>
        <w:spacing w:before="200" w:after="200"/>
      </w:pPr>
      <w:r>
        <w:t xml:space="preserve"/>
      </w:r>
    </w:p>
    <w:p>
      <w:pPr>
        <w:pStyle w:val="Heading1"/>
        <w:spacing w:before="360" w:after="160"/>
      </w:pPr>
      <w:r>
        <w:rPr>
          <w:rFonts w:ascii="Arial" w:cs="Arial" w:eastAsia="Arial" w:hAnsi="Arial"/>
          <w:b/>
          <w:bCs/>
          <w:color w:val="1A4A6B"/>
          <w:sz w:val="32"/>
          <w:szCs w:val="32"/>
        </w:rPr>
        <w:t xml:space="preserve">8. Design Direction</w:t>
      </w:r>
    </w:p>
    <w:p>
      <w:pPr>
        <w:spacing w:before="60" w:after="60"/>
      </w:pPr>
      <w:r>
        <w:rPr>
          <w:rFonts w:ascii="Arial" w:cs="Arial" w:eastAsia="Arial" w:hAnsi="Arial"/>
          <w:sz w:val="20"/>
          <w:szCs w:val="20"/>
        </w:rPr>
        <w:t xml:space="preserve">The application should feel civic but not bureaucratic. Trustworthy but approachable. It is meant for everyday residents as much as professional advocates, so avoid jargon-heavy UI.</w:t>
      </w:r>
    </w:p>
    <w:p>
      <w:pPr>
        <w:spacing w:before="200" w:after="80"/>
      </w:pPr>
      <w:r>
        <w:rPr>
          <w:rFonts w:ascii="Arial" w:cs="Arial" w:eastAsia="Arial" w:hAnsi="Arial"/>
          <w:b/>
          <w:bCs/>
          <w:color w:val="2C6B9A"/>
          <w:sz w:val="22"/>
          <w:szCs w:val="22"/>
        </w:rPr>
        <w:t xml:space="preserve">Aesthetic guidelines</w:t>
      </w:r>
    </w:p>
    <w:p>
      <w:pPr>
        <w:pStyle w:val="ListParagraph"/>
        <w:numPr>
          <w:ilvl w:val="0"/>
          <w:numId w:val="2"/>
        </w:numPr>
        <w:spacing w:before="40" w:after="40"/>
      </w:pPr>
      <w:r>
        <w:rPr>
          <w:rFonts w:ascii="Arial" w:cs="Arial" w:eastAsia="Arial" w:hAnsi="Arial"/>
          <w:sz w:val="20"/>
          <w:szCs w:val="20"/>
        </w:rPr>
        <w:t xml:space="preserve">Typography: Pair a clean, readable body font (e.g., IBM Plex Sans or Source Sans) with a slightly more characterful display font for headings</w:t>
      </w:r>
    </w:p>
    <w:p>
      <w:pPr>
        <w:pStyle w:val="ListParagraph"/>
        <w:numPr>
          <w:ilvl w:val="0"/>
          <w:numId w:val="2"/>
        </w:numPr>
        <w:spacing w:before="40" w:after="40"/>
      </w:pPr>
      <w:r>
        <w:rPr>
          <w:rFonts w:ascii="Arial" w:cs="Arial" w:eastAsia="Arial" w:hAnsi="Arial"/>
          <w:sz w:val="20"/>
          <w:szCs w:val="20"/>
        </w:rPr>
        <w:t xml:space="preserve">Color: Deep civic blue (#1A4A6B or similar) as primary, with warm amber/gold as accent. Avoid the generic purple-on-white palette.</w:t>
      </w:r>
    </w:p>
    <w:p>
      <w:pPr>
        <w:pStyle w:val="ListParagraph"/>
        <w:numPr>
          <w:ilvl w:val="0"/>
          <w:numId w:val="2"/>
        </w:numPr>
        <w:spacing w:before="40" w:after="40"/>
      </w:pPr>
      <w:r>
        <w:rPr>
          <w:rFonts w:ascii="Arial" w:cs="Arial" w:eastAsia="Arial" w:hAnsi="Arial"/>
          <w:sz w:val="20"/>
          <w:szCs w:val="20"/>
        </w:rPr>
        <w:t xml:space="preserve">The tab bar should be persistent and clearly indicate active tab</w:t>
      </w:r>
    </w:p>
    <w:p>
      <w:pPr>
        <w:pStyle w:val="ListParagraph"/>
        <w:numPr>
          <w:ilvl w:val="0"/>
          <w:numId w:val="2"/>
        </w:numPr>
        <w:spacing w:before="40" w:after="40"/>
      </w:pPr>
      <w:r>
        <w:rPr>
          <w:rFonts w:ascii="Arial" w:cs="Arial" w:eastAsia="Arial" w:hAnsi="Arial"/>
          <w:sz w:val="20"/>
          <w:szCs w:val="20"/>
        </w:rPr>
        <w:t xml:space="preserve">Data tables should be clean and scannable, not overwhelming</w:t>
      </w:r>
    </w:p>
    <w:p>
      <w:pPr>
        <w:pStyle w:val="ListParagraph"/>
        <w:numPr>
          <w:ilvl w:val="0"/>
          <w:numId w:val="2"/>
        </w:numPr>
        <w:spacing w:before="40" w:after="40"/>
      </w:pPr>
      <w:r>
        <w:rPr>
          <w:rFonts w:ascii="Arial" w:cs="Arial" w:eastAsia="Arial" w:hAnsi="Arial"/>
          <w:sz w:val="20"/>
          <w:szCs w:val="20"/>
        </w:rPr>
        <w:t xml:space="preserve">Maps should use a neutral basemap (not saturated Google Maps style) so data layers are visually prominent</w:t>
      </w:r>
    </w:p>
    <w:p>
      <w:pPr>
        <w:pStyle w:val="ListParagraph"/>
        <w:numPr>
          <w:ilvl w:val="0"/>
          <w:numId w:val="2"/>
        </w:numPr>
        <w:spacing w:before="40" w:after="40"/>
      </w:pPr>
      <w:r>
        <w:rPr>
          <w:rFonts w:ascii="Arial" w:cs="Arial" w:eastAsia="Arial" w:hAnsi="Arial"/>
          <w:sz w:val="20"/>
          <w:szCs w:val="20"/>
        </w:rPr>
        <w:t xml:space="preserve">The EN/ES toggle should be in the top-right navigation, always visible</w:t>
      </w:r>
    </w:p>
    <w:p>
      <w:pPr>
        <w:pStyle w:val="ListParagraph"/>
        <w:numPr>
          <w:ilvl w:val="0"/>
          <w:numId w:val="2"/>
        </w:numPr>
        <w:spacing w:before="40" w:after="40"/>
      </w:pPr>
      <w:r>
        <w:rPr>
          <w:rFonts w:ascii="Arial" w:cs="Arial" w:eastAsia="Arial" w:hAnsi="Arial"/>
          <w:sz w:val="20"/>
          <w:szCs w:val="20"/>
        </w:rPr>
        <w:t xml:space="preserve">Mobile-responsive: Tab 1 and Tab 3 are likely to be used on phones by residents in the field</w:t>
      </w:r>
    </w:p>
    <w:p>
      <w:pPr>
        <w:spacing w:before="200" w:after="80"/>
      </w:pPr>
      <w:r>
        <w:rPr>
          <w:rFonts w:ascii="Arial" w:cs="Arial" w:eastAsia="Arial" w:hAnsi="Arial"/>
          <w:b/>
          <w:bCs/>
          <w:color w:val="2C6B9A"/>
          <w:sz w:val="22"/>
          <w:szCs w:val="22"/>
        </w:rPr>
        <w:t xml:space="preserve">Empty and loading states</w:t>
      </w:r>
    </w:p>
    <w:p>
      <w:pPr>
        <w:spacing w:before="60" w:after="60"/>
      </w:pPr>
      <w:r>
        <w:rPr>
          <w:rFonts w:ascii="Arial" w:cs="Arial" w:eastAsia="Arial" w:hAnsi="Arial"/>
          <w:sz w:val="20"/>
          <w:szCs w:val="20"/>
        </w:rPr>
        <w:t xml:space="preserve">Every data section needs three states: loading (skeleton UI, not spinners), empty (friendly message explaining what the section shows and why it might be empty), and error (explain that the city API may be temporarily unavailable, with a retry button).</w:t>
      </w:r>
    </w:p>
    <w:p>
      <w:pPr>
        <w:spacing w:before="160" w:after="0"/>
      </w:pPr>
      <w:r>
        <w:t xml:space="preserve"/>
      </w:r>
    </w:p>
    <w:p>
      <w:pPr>
        <w:pBdr>
          <w:bottom w:val="single" w:color="CCCCCC" w:sz="4" w:space="1"/>
        </w:pBdr>
        <w:spacing w:before="200" w:after="200"/>
      </w:pPr>
      <w:r>
        <w:t xml:space="preserve"/>
      </w:r>
    </w:p>
    <w:p>
      <w:pPr>
        <w:pStyle w:val="Heading1"/>
        <w:spacing w:before="360" w:after="160"/>
      </w:pPr>
      <w:r>
        <w:rPr>
          <w:rFonts w:ascii="Arial" w:cs="Arial" w:eastAsia="Arial" w:hAnsi="Arial"/>
          <w:b/>
          <w:bCs/>
          <w:color w:val="1A4A6B"/>
          <w:sz w:val="32"/>
          <w:szCs w:val="32"/>
        </w:rPr>
        <w:t xml:space="preserve">9. Deployment: Cloudflare Pages + Workers</w:t>
      </w:r>
    </w:p>
    <w:p>
      <w:pPr>
        <w:spacing w:before="60" w:after="60"/>
      </w:pPr>
      <w:r>
        <w:rPr>
          <w:rFonts w:ascii="Arial" w:cs="Arial" w:eastAsia="Arial" w:hAnsi="Arial"/>
          <w:sz w:val="20"/>
          <w:szCs w:val="20"/>
        </w:rPr>
        <w:t xml:space="preserve">Deploy to Cloudflare Pages (free tier, no egress fees, no commercial-use restrictions). This is preferred over Vercel for this project because Cloudflare's free tier has no bandwidth billing surprises and explicitly permits public/civic use. A Cloudflare Worker handles the one server-side requirement (Census API key proxy).</w:t>
      </w:r>
    </w:p>
    <w:p>
      <w:pPr>
        <w:spacing w:before="200" w:after="80"/>
      </w:pPr>
      <w:r>
        <w:rPr>
          <w:rFonts w:ascii="Arial" w:cs="Arial" w:eastAsia="Arial" w:hAnsi="Arial"/>
          <w:b/>
          <w:bCs/>
          <w:color w:val="2C6B9A"/>
          <w:sz w:val="22"/>
          <w:szCs w:val="22"/>
        </w:rPr>
        <w:t xml:space="preserve">Architecture</w:t>
      </w:r>
    </w:p>
    <w:p>
      <w:pPr>
        <w:pStyle w:val="ListParagraph"/>
        <w:numPr>
          <w:ilvl w:val="0"/>
          <w:numId w:val="2"/>
        </w:numPr>
        <w:spacing w:before="40" w:after="40"/>
      </w:pPr>
      <w:r>
        <w:rPr>
          <w:rFonts w:ascii="Arial" w:cs="Arial" w:eastAsia="Arial" w:hAnsi="Arial"/>
          <w:sz w:val="20"/>
          <w:szCs w:val="20"/>
        </w:rPr>
        <w:t xml:space="preserve">Frontend: static React/Vite build deployed to Cloudflare Pages via GitHub integration. Push to main → auto-deploys in ~30 seconds.</w:t>
      </w:r>
    </w:p>
    <w:p>
      <w:pPr>
        <w:pStyle w:val="ListParagraph"/>
        <w:numPr>
          <w:ilvl w:val="0"/>
          <w:numId w:val="2"/>
        </w:numPr>
        <w:spacing w:before="40" w:after="40"/>
      </w:pPr>
      <w:r>
        <w:rPr>
          <w:rFonts w:ascii="Arial" w:cs="Arial" w:eastAsia="Arial" w:hAnsi="Arial"/>
          <w:sz w:val="20"/>
          <w:szCs w:val="20"/>
        </w:rPr>
        <w:t xml:space="preserve">Census API proxy: one Cloudflare Worker (free tier: 100,000 requests/day). The Worker receives requests from the browser, appends the Census API key server-side, and forwards to api.census.gov. The Census key never appears in the browser bundle.</w:t>
      </w:r>
    </w:p>
    <w:p>
      <w:pPr>
        <w:pStyle w:val="ListParagraph"/>
        <w:numPr>
          <w:ilvl w:val="0"/>
          <w:numId w:val="2"/>
        </w:numPr>
        <w:spacing w:before="40" w:after="40"/>
      </w:pPr>
      <w:r>
        <w:rPr>
          <w:rFonts w:ascii="Arial" w:cs="Arial" w:eastAsia="Arial" w:hAnsi="Arial"/>
          <w:sz w:val="20"/>
          <w:szCs w:val="20"/>
        </w:rPr>
        <w:t xml:space="preserve">All other API calls (Socrata SODA, CAGIS, SORTA GTFS, Claude API, geocoding) are made directly from the browser. No additional server-side infrastructure needed.</w:t>
      </w:r>
    </w:p>
    <w:p>
      <w:pPr>
        <w:pStyle w:val="ListParagraph"/>
        <w:numPr>
          <w:ilvl w:val="0"/>
          <w:numId w:val="2"/>
        </w:numPr>
        <w:spacing w:before="40" w:after="40"/>
      </w:pPr>
      <w:r>
        <w:rPr>
          <w:rFonts w:ascii="Arial" w:cs="Arial" w:eastAsia="Arial" w:hAnsi="Arial"/>
          <w:sz w:val="20"/>
          <w:szCs w:val="20"/>
        </w:rPr>
        <w:t xml:space="preserve">Anthropic API key: passed through the Cloudflare Worker alongside Census calls, or via a second Worker route. Never in the client bundle.</w:t>
      </w:r>
    </w:p>
    <w:p>
      <w:pPr>
        <w:spacing w:before="200" w:after="80"/>
      </w:pPr>
      <w:r>
        <w:rPr>
          <w:rFonts w:ascii="Arial" w:cs="Arial" w:eastAsia="Arial" w:hAnsi="Arial"/>
          <w:b/>
          <w:bCs/>
          <w:color w:val="2C6B9A"/>
          <w:sz w:val="22"/>
          <w:szCs w:val="22"/>
        </w:rPr>
        <w:t xml:space="preserve">Setup steps for Claude Code</w:t>
      </w:r>
    </w:p>
    <w:p>
      <w:pPr>
        <w:pStyle w:val="ListParagraph"/>
        <w:numPr>
          <w:ilvl w:val="0"/>
          <w:numId w:val="2"/>
        </w:numPr>
        <w:spacing w:before="40" w:after="40"/>
      </w:pPr>
      <w:r>
        <w:rPr>
          <w:rFonts w:ascii="Arial" w:cs="Arial" w:eastAsia="Arial" w:hAnsi="Arial"/>
          <w:sz w:val="20"/>
          <w:szCs w:val="20"/>
        </w:rPr>
        <w:t xml:space="preserve">1. Create a Cloudflare account at cloudflare.com (free).</w:t>
      </w:r>
    </w:p>
    <w:p>
      <w:pPr>
        <w:pStyle w:val="ListParagraph"/>
        <w:numPr>
          <w:ilvl w:val="0"/>
          <w:numId w:val="2"/>
        </w:numPr>
        <w:spacing w:before="40" w:after="40"/>
      </w:pPr>
      <w:r>
        <w:rPr>
          <w:rFonts w:ascii="Arial" w:cs="Arial" w:eastAsia="Arial" w:hAnsi="Arial"/>
          <w:sz w:val="20"/>
          <w:szCs w:val="20"/>
        </w:rPr>
        <w:t xml:space="preserve">2. Connect the GitHub repository to Cloudflare Pages (Settings &gt; Pages &gt; Connect to Git).</w:t>
      </w:r>
    </w:p>
    <w:p>
      <w:pPr>
        <w:pStyle w:val="ListParagraph"/>
        <w:numPr>
          <w:ilvl w:val="0"/>
          <w:numId w:val="2"/>
        </w:numPr>
        <w:spacing w:before="40" w:after="40"/>
      </w:pPr>
      <w:r>
        <w:rPr>
          <w:rFonts w:ascii="Arial" w:cs="Arial" w:eastAsia="Arial" w:hAnsi="Arial"/>
          <w:sz w:val="20"/>
          <w:szCs w:val="20"/>
        </w:rPr>
        <w:t xml:space="preserve">3. Set build command: npm run build. Set output directory: dist (for Vite) or out (for Next.js static export).</w:t>
      </w:r>
    </w:p>
    <w:p>
      <w:pPr>
        <w:pStyle w:val="ListParagraph"/>
        <w:numPr>
          <w:ilvl w:val="0"/>
          <w:numId w:val="2"/>
        </w:numPr>
        <w:spacing w:before="40" w:after="40"/>
      </w:pPr>
      <w:r>
        <w:rPr>
          <w:rFonts w:ascii="Arial" w:cs="Arial" w:eastAsia="Arial" w:hAnsi="Arial"/>
          <w:sz w:val="20"/>
          <w:szCs w:val="20"/>
        </w:rPr>
        <w:t xml:space="preserve">4. Create a Cloudflare Worker named cincinnati-api-proxy using the Workers dashboard or Wrangler CLI.</w:t>
      </w:r>
    </w:p>
    <w:p>
      <w:pPr>
        <w:pStyle w:val="ListParagraph"/>
        <w:numPr>
          <w:ilvl w:val="0"/>
          <w:numId w:val="2"/>
        </w:numPr>
        <w:spacing w:before="40" w:after="40"/>
      </w:pPr>
      <w:r>
        <w:rPr>
          <w:rFonts w:ascii="Arial" w:cs="Arial" w:eastAsia="Arial" w:hAnsi="Arial"/>
          <w:sz w:val="20"/>
          <w:szCs w:val="20"/>
        </w:rPr>
        <w:t xml:space="preserve">5. Add environment variables to the Worker: CENSUS_API_KEY, ANTHROPIC_API_KEY. Add SOCRATA_APP_TOKEN and GEOCODING_API_KEY to the Pages project environment variables (these are lower sensitivity but still better kept out of source code).</w:t>
      </w:r>
    </w:p>
    <w:p>
      <w:pPr>
        <w:pStyle w:val="ListParagraph"/>
        <w:numPr>
          <w:ilvl w:val="0"/>
          <w:numId w:val="2"/>
        </w:numPr>
        <w:spacing w:before="40" w:after="40"/>
      </w:pPr>
      <w:r>
        <w:rPr>
          <w:rFonts w:ascii="Arial" w:cs="Arial" w:eastAsia="Arial" w:hAnsi="Arial"/>
          <w:sz w:val="20"/>
          <w:szCs w:val="20"/>
        </w:rPr>
        <w:t xml:space="preserve">6. Configure the Worker route: api.{your-pages-domain}.pages.dev/* → Worker. Or use a custom domain if available.</w:t>
      </w:r>
    </w:p>
    <w:p>
      <w:pPr>
        <w:pStyle w:val="ListParagraph"/>
        <w:numPr>
          <w:ilvl w:val="0"/>
          <w:numId w:val="2"/>
        </w:numPr>
        <w:spacing w:before="40" w:after="40"/>
      </w:pPr>
      <w:r>
        <w:rPr>
          <w:rFonts w:ascii="Arial" w:cs="Arial" w:eastAsia="Arial" w:hAnsi="Arial"/>
          <w:sz w:val="20"/>
          <w:szCs w:val="20"/>
        </w:rPr>
        <w:t xml:space="preserve">7. Update the frontend to call /api/census/... and /api/claude/... which proxy through the Worker, rather than calling external APIs directly for those two services.</w:t>
      </w:r>
    </w:p>
    <w:p>
      <w:pPr>
        <w:spacing w:before="200" w:after="80"/>
      </w:pPr>
      <w:r>
        <w:rPr>
          <w:rFonts w:ascii="Arial" w:cs="Arial" w:eastAsia="Arial" w:hAnsi="Arial"/>
          <w:b/>
          <w:bCs/>
          <w:color w:val="2C6B9A"/>
          <w:sz w:val="22"/>
          <w:szCs w:val="22"/>
        </w:rPr>
        <w:t xml:space="preserve">Environment variables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63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18"/>
                <w:szCs w:val="18"/>
              </w:rPr>
              <w:t xml:space="preserve">Where it lives  |  Notes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ANTHROPIC_API_KEY</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Cloudflare Worker secret  |  Never in browser bundle. Used to proxy Claude API calls.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CENSUS_API_KEY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Cloudflare Worker secret  |  Never in browser bundle. Free key from api.census.gov/data/key_signup.html</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sz w:val="18"/>
                <w:szCs w:val="18"/>
              </w:rPr>
              <w:t xml:space="preserve">SOCRATA_APP_TOKEN</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Cloudflare Pages env var  |  Low sensitivity. Register free at data.cincinnati-oh.gov. Prevents rate limiting.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GEOCODING_API_KEY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Cloudflare Pages env var  |  Google Maps or Mapbox. Used for address autocomplete in Tab 1.</w:t>
            </w:r>
          </w:p>
        </w:tc>
      </w:tr>
    </w:tbl>
    <w:p>
      <w:pPr>
        <w:spacing w:before="120" w:after="0"/>
      </w:pPr>
      <w:r>
        <w:t xml:space="preserve"/>
      </w:r>
    </w:p>
    <w:p>
      <w:pPr>
        <w:spacing w:before="200" w:after="80"/>
      </w:pPr>
      <w:r>
        <w:rPr>
          <w:rFonts w:ascii="Arial" w:cs="Arial" w:eastAsia="Arial" w:hAnsi="Arial"/>
          <w:b/>
          <w:bCs/>
          <w:color w:val="2C6B9A"/>
          <w:sz w:val="22"/>
          <w:szCs w:val="22"/>
        </w:rPr>
        <w:t xml:space="preserve">CORS notes</w:t>
      </w:r>
    </w:p>
    <w:p>
      <w:pPr>
        <w:pStyle w:val="ListParagraph"/>
        <w:numPr>
          <w:ilvl w:val="0"/>
          <w:numId w:val="2"/>
        </w:numPr>
        <w:spacing w:before="40" w:after="40"/>
      </w:pPr>
      <w:r>
        <w:rPr>
          <w:rFonts w:ascii="Arial" w:cs="Arial" w:eastAsia="Arial" w:hAnsi="Arial"/>
          <w:sz w:val="20"/>
          <w:szCs w:val="20"/>
        </w:rPr>
        <w:t xml:space="preserve">Socrata SODA API: supports CORS natively. Direct browser calls work fine.</w:t>
      </w:r>
    </w:p>
    <w:p>
      <w:pPr>
        <w:pStyle w:val="ListParagraph"/>
        <w:numPr>
          <w:ilvl w:val="0"/>
          <w:numId w:val="2"/>
        </w:numPr>
        <w:spacing w:before="40" w:after="40"/>
      </w:pPr>
      <w:r>
        <w:rPr>
          <w:rFonts w:ascii="Arial" w:cs="Arial" w:eastAsia="Arial" w:hAnsi="Arial"/>
          <w:sz w:val="20"/>
          <w:szCs w:val="20"/>
        </w:rPr>
        <w:t xml:space="preserve">CAGIS ArcGIS REST API: test CORS early in development. If blocked, add a second Worker route to proxy CAGIS requests.</w:t>
      </w:r>
    </w:p>
    <w:p>
      <w:pPr>
        <w:pStyle w:val="ListParagraph"/>
        <w:numPr>
          <w:ilvl w:val="0"/>
          <w:numId w:val="2"/>
        </w:numPr>
        <w:spacing w:before="40" w:after="40"/>
      </w:pPr>
      <w:r>
        <w:rPr>
          <w:rFonts w:ascii="Arial" w:cs="Arial" w:eastAsia="Arial" w:hAnsi="Arial"/>
          <w:sz w:val="20"/>
          <w:szCs w:val="20"/>
        </w:rPr>
        <w:t xml:space="preserve">SORTA GTFS: static file download, not a live API. Download stops.txt and routes.txt at build time and bundle as static assets, or fetch once on app load and cache in memory. No CORS issues.</w:t>
      </w:r>
    </w:p>
    <w:p>
      <w:pPr>
        <w:spacing w:before="200" w:after="80"/>
      </w:pPr>
      <w:r>
        <w:rPr>
          <w:rFonts w:ascii="Arial" w:cs="Arial" w:eastAsia="Arial" w:hAnsi="Arial"/>
          <w:b/>
          <w:bCs/>
          <w:color w:val="2C6B9A"/>
          <w:sz w:val="22"/>
          <w:szCs w:val="22"/>
        </w:rPr>
        <w:t xml:space="preserve">Custom domain (optional)</w:t>
      </w:r>
    </w:p>
    <w:p>
      <w:pPr>
        <w:spacing w:before="60" w:after="60"/>
      </w:pPr>
      <w:r>
        <w:rPr>
          <w:rFonts w:ascii="Arial" w:cs="Arial" w:eastAsia="Arial" w:hAnsi="Arial"/>
          <w:sz w:val="20"/>
          <w:szCs w:val="20"/>
        </w:rPr>
        <w:t xml:space="preserve">Cloudflare Pages projects get a free subdomain at {project-name}.pages.dev. A custom domain (e.g., cincydata.org) can be added at no cost if the domain's DNS is managed through Cloudflare. Domain registration itself is a separate cost (~$10-15/year depending on TLD).</w:t>
      </w:r>
    </w:p>
    <w:p>
      <w:pPr>
        <w:spacing w:before="80" w:after="80"/>
        <w:ind w:left="400"/>
      </w:pPr>
      <w:r>
        <w:rPr>
          <w:rFonts w:ascii="Arial" w:cs="Arial" w:eastAsia="Arial" w:hAnsi="Arial"/>
          <w:i/>
          <w:iCs/>
          <w:color w:val="8B6914"/>
          <w:sz w:val="20"/>
          <w:szCs w:val="20"/>
        </w:rPr>
        <w:t xml:space="preserve">⚠ Cloudflare's free tier Hobby plan has no commercial-use restriction, unlike Vercel's Hobby plan. This app qualifies as a non-commercial civic tool regardless, but Cloudflare's terms are unambiguous and preferable for a public-facing project.</w:t>
      </w:r>
    </w:p>
    <w:p>
      <w:pPr>
        <w:spacing w:before="160" w:after="0"/>
      </w:pPr>
      <w:r>
        <w:t xml:space="preserve"/>
      </w:r>
    </w:p>
    <w:p>
      <w:pPr>
        <w:pBdr>
          <w:bottom w:val="single" w:color="CCCCCC" w:sz="4" w:space="1"/>
        </w:pBdr>
        <w:spacing w:before="200" w:after="200"/>
      </w:pPr>
      <w:r>
        <w:t xml:space="preserve"/>
      </w:r>
    </w:p>
    <w:p>
      <w:pPr>
        <w:spacing w:before="240" w:after="0"/>
        <w:jc w:val="center"/>
      </w:pPr>
      <w:r>
        <w:rPr>
          <w:rFonts w:ascii="Arial" w:cs="Arial" w:eastAsia="Arial" w:hAnsi="Arial"/>
          <w:i/>
          <w:iCs/>
          <w:color w:val="888888"/>
          <w:sz w:val="16"/>
          <w:szCs w:val="16"/>
        </w:rPr>
        <w:t xml:space="preserve">Prepared with Claude — Anthropic  |  Data sources: data.cincinnati-oh.gov, data-cagisportal.opendata.arcgis.com, census.gov  |  v1.1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4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4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2026-03-18T20:18:54.866Z</dcterms:created>
  <dcterms:modified xsi:type="dcterms:W3CDTF">2026-03-18T20:18:54.867Z</dcterms:modified>
</cp:coreProperties>
</file>

<file path=docProps/custom.xml><?xml version="1.0" encoding="utf-8"?>
<Properties xmlns="http://schemas.openxmlformats.org/officeDocument/2006/custom-properties" xmlns:vt="http://schemas.openxmlformats.org/officeDocument/2006/docPropsVTypes"/>
</file>