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19A4" w14:textId="61877E72" w:rsidR="00EA0D77" w:rsidRDefault="00EA0D77" w:rsidP="00523C2B">
      <w:pPr>
        <w:rPr>
          <w:b/>
          <w:bCs/>
        </w:rPr>
      </w:pPr>
      <w:r w:rsidRPr="00EA0D77">
        <w:rPr>
          <w:b/>
          <w:bCs/>
        </w:rPr>
        <w:t xml:space="preserve">Exercise </w:t>
      </w:r>
      <w:r w:rsidR="003608B5">
        <w:rPr>
          <w:rFonts w:eastAsia="PMingLiU" w:hint="eastAsia"/>
          <w:b/>
          <w:bCs/>
          <w:lang w:eastAsia="zh-TW"/>
        </w:rPr>
        <w:t>3</w:t>
      </w:r>
      <w:r w:rsidRPr="00EA0D77">
        <w:rPr>
          <w:b/>
          <w:bCs/>
        </w:rPr>
        <w:t>:  Develop a</w:t>
      </w:r>
      <w:r w:rsidR="00F8321D">
        <w:rPr>
          <w:b/>
          <w:bCs/>
        </w:rPr>
        <w:t>n Initial</w:t>
      </w:r>
      <w:r w:rsidRPr="00EA0D77">
        <w:rPr>
          <w:b/>
          <w:bCs/>
        </w:rPr>
        <w:t xml:space="preserve"> Public Relations Plan.</w:t>
      </w:r>
    </w:p>
    <w:p w14:paraId="51516618" w14:textId="41032692" w:rsidR="009A07D9" w:rsidRDefault="009A07D9" w:rsidP="009A07D9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</w:t>
      </w:r>
      <w:r w:rsidR="00F8321D">
        <w:rPr>
          <w:sz w:val="24"/>
          <w:szCs w:val="24"/>
        </w:rPr>
        <w:t xml:space="preserve">Initial </w:t>
      </w:r>
      <w:r>
        <w:rPr>
          <w:sz w:val="24"/>
          <w:szCs w:val="24"/>
        </w:rPr>
        <w:t xml:space="preserve">Public Relations Plan </w:t>
      </w:r>
      <w:r w:rsidR="003C1106">
        <w:rPr>
          <w:sz w:val="24"/>
          <w:szCs w:val="24"/>
        </w:rPr>
        <w:t>outlines</w:t>
      </w:r>
      <w:r w:rsidR="00E4738D">
        <w:rPr>
          <w:sz w:val="24"/>
          <w:szCs w:val="24"/>
        </w:rPr>
        <w:t xml:space="preserve"> </w:t>
      </w:r>
      <w:r w:rsidR="003C1106">
        <w:rPr>
          <w:sz w:val="24"/>
          <w:szCs w:val="24"/>
        </w:rPr>
        <w:t xml:space="preserve">various </w:t>
      </w:r>
      <w:r w:rsidR="00E4738D">
        <w:rPr>
          <w:sz w:val="24"/>
          <w:szCs w:val="24"/>
        </w:rPr>
        <w:t>goals, objectives, and processes</w:t>
      </w:r>
      <w:r>
        <w:rPr>
          <w:sz w:val="24"/>
          <w:szCs w:val="24"/>
        </w:rPr>
        <w:t>.</w:t>
      </w:r>
      <w:r w:rsidR="003C1106">
        <w:rPr>
          <w:sz w:val="24"/>
          <w:szCs w:val="24"/>
        </w:rPr>
        <w:t xml:space="preserve"> Review the PR Plan example in Part I, then scroll down to Part II to fill in your PR plan for the Car Cam scenario.</w:t>
      </w:r>
    </w:p>
    <w:p w14:paraId="3AC69311" w14:textId="307FF0D7" w:rsidR="009A07D9" w:rsidRPr="006C34A5" w:rsidRDefault="003C1106" w:rsidP="009A0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6F04BFAD" w14:textId="212492BE" w:rsidR="009A07D9" w:rsidRDefault="009A07D9" w:rsidP="003C110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Car Cam </w:t>
      </w:r>
      <w:r w:rsidR="003C1106">
        <w:rPr>
          <w:sz w:val="24"/>
          <w:szCs w:val="24"/>
        </w:rPr>
        <w:t>product development scenario</w:t>
      </w:r>
    </w:p>
    <w:p w14:paraId="68FBD879" w14:textId="7CE89F4E" w:rsidR="009A07D9" w:rsidRDefault="00F8321D" w:rsidP="003C1106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 Initial Public Relations Plan </w:t>
      </w:r>
    </w:p>
    <w:p w14:paraId="6DDF3C41" w14:textId="5DDA7420" w:rsidR="00B57024" w:rsidRPr="00877E2B" w:rsidRDefault="00B57024" w:rsidP="00523C2B">
      <w:pPr>
        <w:rPr>
          <w:b/>
          <w:bCs/>
        </w:rPr>
      </w:pPr>
      <w:r w:rsidRPr="00877E2B">
        <w:rPr>
          <w:b/>
          <w:bCs/>
        </w:rPr>
        <w:t xml:space="preserve">Part I: </w:t>
      </w:r>
      <w:r w:rsidR="00AC1A69">
        <w:rPr>
          <w:b/>
          <w:bCs/>
        </w:rPr>
        <w:t xml:space="preserve">Initial </w:t>
      </w:r>
      <w:r w:rsidR="00877E2B" w:rsidRPr="00877E2B">
        <w:rPr>
          <w:b/>
          <w:bCs/>
        </w:rPr>
        <w:t>Public Relations Plan Format and Example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22EE9DE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</w:t>
            </w:r>
            <w:r w:rsidR="00AC1A69">
              <w:rPr>
                <w:rFonts w:cstheme="minorHAnsi"/>
                <w:sz w:val="24"/>
                <w:szCs w:val="24"/>
              </w:rPr>
              <w:t xml:space="preserve">ublic </w:t>
            </w:r>
            <w:r w:rsidRPr="00396E8F">
              <w:rPr>
                <w:rFonts w:cstheme="minorHAnsi"/>
                <w:sz w:val="24"/>
                <w:szCs w:val="24"/>
              </w:rPr>
              <w:t>R</w:t>
            </w:r>
            <w:r w:rsidR="00AC1A69">
              <w:rPr>
                <w:rFonts w:cstheme="minorHAnsi"/>
                <w:sz w:val="24"/>
                <w:szCs w:val="24"/>
              </w:rPr>
              <w:t>elations</w:t>
            </w:r>
            <w:r w:rsidRPr="00396E8F">
              <w:rPr>
                <w:rFonts w:cstheme="minorHAnsi"/>
                <w:sz w:val="24"/>
                <w:szCs w:val="24"/>
              </w:rPr>
              <w:t xml:space="preserve">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6AE79E5A" w14:textId="59FC1D2B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</w:t>
            </w:r>
            <w:r w:rsidR="00877E2B">
              <w:rPr>
                <w:rFonts w:cstheme="minorHAnsi"/>
                <w:sz w:val="24"/>
                <w:szCs w:val="24"/>
              </w:rPr>
              <w:t>n</w:t>
            </w:r>
            <w:r w:rsidRPr="00396E8F">
              <w:rPr>
                <w:rFonts w:cstheme="minorHAnsi"/>
                <w:sz w:val="24"/>
                <w:szCs w:val="24"/>
              </w:rPr>
              <w:t>ch the new Smartwatch by the beginning of Q4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2B2CB12" w14:textId="11823C4E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Contrast our Smartwatch to the competition and create a positive brand image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30254C6E" w14:textId="20886770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Create a recognizable symbol or logo to differentiate our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1F1D81A" w14:textId="4C5028C5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Develop effective marketing collateral that has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 xml:space="preserve">impact </w:t>
            </w:r>
            <w:r w:rsidR="003C1106">
              <w:rPr>
                <w:rFonts w:cstheme="minorHAnsi"/>
                <w:sz w:val="24"/>
                <w:szCs w:val="24"/>
              </w:rPr>
              <w:t>on</w:t>
            </w:r>
            <w:r w:rsidRPr="00396E8F">
              <w:rPr>
                <w:rFonts w:cstheme="minorHAnsi"/>
                <w:sz w:val="24"/>
                <w:szCs w:val="24"/>
              </w:rPr>
              <w:t xml:space="preserve"> the target audience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5FC2381" w14:textId="75504571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materials are available for events and tradeshows that have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>impact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4EADF55" w14:textId="71CA3496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media is developed to present our new Smartwatch </w:t>
            </w:r>
            <w:r w:rsidR="003C1106">
              <w:rPr>
                <w:rFonts w:cstheme="minorHAnsi"/>
                <w:sz w:val="24"/>
                <w:szCs w:val="24"/>
              </w:rPr>
              <w:t>compellingl</w:t>
            </w:r>
            <w:r w:rsidRPr="00396E8F">
              <w:rPr>
                <w:rFonts w:cstheme="minorHAnsi"/>
                <w:sz w:val="24"/>
                <w:szCs w:val="24"/>
              </w:rPr>
              <w:t>y to the market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186A70F" w14:textId="6B83379A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Survey our customers and solicit their actual opinions and user experiences to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5C3A27F" w14:textId="23F8F2D4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external methods to advertise our new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6C5845FF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3C1106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30208F6" w14:textId="5B834B7F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Specific: All media must state </w:t>
            </w:r>
            <w:r w:rsidR="003C1106">
              <w:rPr>
                <w:rFonts w:cstheme="minorHAnsi"/>
                <w:sz w:val="24"/>
                <w:szCs w:val="24"/>
              </w:rPr>
              <w:t>precise</w:t>
            </w:r>
            <w:r w:rsidRPr="00396E8F">
              <w:rPr>
                <w:rFonts w:cstheme="minorHAnsi"/>
                <w:sz w:val="24"/>
                <w:szCs w:val="24"/>
              </w:rPr>
              <w:t>ly what the Smartwatch features and functionality include and differentiate our product from the competition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01EA8B9" w14:textId="006A1E59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Measurable: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accurately measure sales, revenue, returns, complaints, and market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733B9580" w14:textId="6FE2531B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Achievable: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</w:t>
            </w:r>
            <w:r w:rsidR="003C1106">
              <w:rPr>
                <w:rFonts w:cstheme="minorHAnsi"/>
                <w:sz w:val="24"/>
                <w:szCs w:val="24"/>
              </w:rPr>
              <w:t>implement this PR Plan</w:t>
            </w:r>
            <w:r w:rsidRPr="00396E8F">
              <w:rPr>
                <w:rFonts w:cstheme="minorHAnsi"/>
                <w:sz w:val="24"/>
                <w:szCs w:val="24"/>
              </w:rPr>
              <w:t xml:space="preserve"> at least 30 days </w:t>
            </w:r>
            <w:r w:rsidR="003C1106">
              <w:rPr>
                <w:rFonts w:cstheme="minorHAnsi"/>
                <w:sz w:val="24"/>
                <w:szCs w:val="24"/>
              </w:rPr>
              <w:t>before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launch. All media and marketing collateral options must be in place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FE3369A" w14:textId="10AE0024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Relevant: Ensure all media considerations are relevant to the target audience and satisfy business objectives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AB28963" w14:textId="093350C3" w:rsidR="00255AD8" w:rsidRPr="00396E8F" w:rsidRDefault="00255AD8" w:rsidP="00255AD8">
            <w:pPr>
              <w:pStyle w:val="a3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Time-Bound: The 20 Sep 20xx Smartwatch launch is fixed. This plan must support that date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E4D73D5" w14:textId="77777777" w:rsidR="00255AD8" w:rsidRPr="00396E8F" w:rsidRDefault="00255AD8" w:rsidP="00B2690D">
            <w:pPr>
              <w:pStyle w:val="a3"/>
              <w:rPr>
                <w:rFonts w:cstheme="minorHAnsi"/>
                <w:sz w:val="24"/>
                <w:szCs w:val="24"/>
              </w:rPr>
            </w:pPr>
          </w:p>
        </w:tc>
      </w:tr>
    </w:tbl>
    <w:p w14:paraId="3C4C9E16" w14:textId="77777777" w:rsidR="00AC1A69" w:rsidRDefault="00AC1A69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028D6C2E" w14:textId="77777777" w:rsidTr="00B2690D">
        <w:tc>
          <w:tcPr>
            <w:tcW w:w="2155" w:type="dxa"/>
          </w:tcPr>
          <w:p w14:paraId="51FFF809" w14:textId="372C5F31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Our marketing campaign will target customer groups most likely to want and purchase a Smartwatch</w:t>
            </w:r>
            <w:r>
              <w:rPr>
                <w:rFonts w:cstheme="minorHAnsi"/>
                <w:sz w:val="24"/>
                <w:szCs w:val="24"/>
              </w:rPr>
              <w:t>. Based on research:</w:t>
            </w:r>
          </w:p>
          <w:p w14:paraId="72249D1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01AAF9F0" w14:textId="77777777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1 users of Smartwatches are Millennials aged 25-34</w:t>
            </w:r>
          </w:p>
          <w:p w14:paraId="17430E6F" w14:textId="77777777" w:rsidR="00255AD8" w:rsidRPr="00396E8F" w:rsidRDefault="00255AD8" w:rsidP="00255AD8">
            <w:pPr>
              <w:pStyle w:val="a3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2 users of Smartwatches are Millennials aged 35-40, and Gen X customers aged 41-54</w:t>
            </w:r>
          </w:p>
        </w:tc>
      </w:tr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7195" w:type="dxa"/>
          </w:tcPr>
          <w:p w14:paraId="593A1395" w14:textId="5132579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3C1106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40E230C" w14:textId="77777777" w:rsidR="00255AD8" w:rsidRPr="00396E8F" w:rsidRDefault="00255AD8" w:rsidP="00255AD8">
            <w:pPr>
              <w:pStyle w:val="a3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Implement PR Campaign 20 Aug 20xx</w:t>
            </w:r>
          </w:p>
          <w:p w14:paraId="4D634B71" w14:textId="77777777" w:rsidR="00255AD8" w:rsidRPr="00396E8F" w:rsidRDefault="00255AD8" w:rsidP="00255AD8">
            <w:pPr>
              <w:pStyle w:val="a3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Launch:  20 Sep 20xx</w:t>
            </w:r>
          </w:p>
          <w:p w14:paraId="7551FDD9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658458D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This PR Plan must be finalized and approved by 15 Jul 20xx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3608B5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7E692116" w14:textId="2CCC8A70" w:rsidR="003608B5" w:rsidRPr="003608B5" w:rsidRDefault="003608B5" w:rsidP="003608B5">
            <w:pPr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To ensure a successful Car Cam launch, we recommend the following multi-channel marketing strategy:</w:t>
            </w:r>
          </w:p>
          <w:p w14:paraId="22273378" w14:textId="77777777" w:rsidR="003608B5" w:rsidRPr="003608B5" w:rsidRDefault="003608B5" w:rsidP="003608B5">
            <w:pPr>
              <w:rPr>
                <w:rFonts w:cstheme="minorHAnsi"/>
                <w:sz w:val="24"/>
                <w:szCs w:val="24"/>
              </w:rPr>
            </w:pPr>
          </w:p>
          <w:p w14:paraId="5243DAB6" w14:textId="7653F2B9" w:rsidR="003608B5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Launch teaser and demo videos on Instagram, YouTube Shorts, and TikTok to engage Millennials and Gen X audiences.</w:t>
            </w:r>
          </w:p>
          <w:p w14:paraId="413285B6" w14:textId="191A229B" w:rsidR="003608B5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Partner with influencers in tech, parenting, and auto spaces to demonstrate real-world use.</w:t>
            </w:r>
          </w:p>
          <w:p w14:paraId="2700643E" w14:textId="4EA6572B" w:rsidR="003608B5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Distribute press releases to automotive and tech news outlets 30 days prior to launch.</w:t>
            </w:r>
          </w:p>
          <w:p w14:paraId="40B7586C" w14:textId="3A6DEC41" w:rsidR="003608B5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Organize pop-up booths and demos at car expos and driver safety events.</w:t>
            </w:r>
          </w:p>
          <w:p w14:paraId="189BBF0B" w14:textId="7BE17A85" w:rsidR="003608B5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Email marketing to current customers and targeted segments with pre-order discounts.</w:t>
            </w:r>
          </w:p>
          <w:p w14:paraId="3FC8C065" w14:textId="29FCB894" w:rsidR="00255AD8" w:rsidRPr="003608B5" w:rsidRDefault="003608B5" w:rsidP="003608B5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Create comparison charts to highlight advantages over competitors.</w:t>
            </w: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3608B5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302D1C13" w14:textId="3DE7A92E" w:rsidR="003608B5" w:rsidRPr="003608B5" w:rsidRDefault="003608B5" w:rsidP="003608B5">
            <w:pPr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We recommend creating a dedicated media area on the official company website for the Car Cam launch. This page should include:</w:t>
            </w:r>
          </w:p>
          <w:p w14:paraId="4D9ACF75" w14:textId="77777777" w:rsidR="003608B5" w:rsidRPr="003608B5" w:rsidRDefault="003608B5" w:rsidP="003608B5">
            <w:pPr>
              <w:rPr>
                <w:rFonts w:cstheme="minorHAnsi"/>
                <w:sz w:val="24"/>
                <w:szCs w:val="24"/>
              </w:rPr>
            </w:pPr>
          </w:p>
          <w:p w14:paraId="2085545C" w14:textId="34D4CB76" w:rsidR="003608B5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High-resolution product images and demo videos</w:t>
            </w:r>
          </w:p>
          <w:p w14:paraId="09F6FA8B" w14:textId="2CE85A9F" w:rsidR="003608B5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Downloadable press kit (including logo assets, product specs, and FAQs)</w:t>
            </w:r>
          </w:p>
          <w:p w14:paraId="211A094B" w14:textId="43874F54" w:rsidR="003608B5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Customer testimonials and early reviews</w:t>
            </w:r>
          </w:p>
          <w:p w14:paraId="70680B28" w14:textId="79BBDD9C" w:rsidR="003608B5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Interactive 3D view or 360-degree product rotation</w:t>
            </w:r>
          </w:p>
          <w:p w14:paraId="087EF376" w14:textId="2D1D6579" w:rsidR="003608B5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 w:hint="eastAsia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Social media sharing buttons and a launch countdown timer</w:t>
            </w:r>
          </w:p>
          <w:p w14:paraId="75E5AB69" w14:textId="094EBBDB" w:rsidR="00255AD8" w:rsidRPr="003608B5" w:rsidRDefault="003608B5" w:rsidP="003608B5">
            <w:pPr>
              <w:pStyle w:val="a3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3608B5">
              <w:rPr>
                <w:rFonts w:cstheme="minorHAnsi"/>
                <w:sz w:val="24"/>
                <w:szCs w:val="24"/>
              </w:rPr>
              <w:t>Contact form or email for press/media inquiries</w:t>
            </w: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a3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r w:rsidRPr="00396E8F">
              <w:rPr>
                <w:rFonts w:cstheme="minorHAnsi"/>
                <w:sz w:val="24"/>
                <w:szCs w:val="24"/>
              </w:rPr>
              <w:t>include:</w:t>
            </w:r>
          </w:p>
          <w:p w14:paraId="1141FCAF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4C4D96C1" w14:textId="77777777" w:rsidR="00255AD8" w:rsidRPr="00396E8F" w:rsidRDefault="00255AD8" w:rsidP="00255AD8">
            <w:pPr>
              <w:pStyle w:val="a3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</w:tc>
      </w:tr>
    </w:tbl>
    <w:p w14:paraId="782F20EA" w14:textId="5DB24FB3" w:rsidR="00877E2B" w:rsidRDefault="00877E2B" w:rsidP="00523C2B"/>
    <w:p w14:paraId="1CA874B3" w14:textId="77777777" w:rsidR="00877E2B" w:rsidRDefault="00877E2B">
      <w:r>
        <w:lastRenderedPageBreak/>
        <w:br w:type="page"/>
      </w:r>
    </w:p>
    <w:p w14:paraId="31DBF0D1" w14:textId="167C8E6C" w:rsidR="00523C2B" w:rsidRPr="00EA0D77" w:rsidRDefault="00877E2B" w:rsidP="00523C2B">
      <w:pPr>
        <w:rPr>
          <w:b/>
          <w:bCs/>
        </w:rPr>
      </w:pPr>
      <w:r w:rsidRPr="00EA0D77">
        <w:rPr>
          <w:b/>
          <w:bCs/>
        </w:rPr>
        <w:lastRenderedPageBreak/>
        <w:t xml:space="preserve">Part II:  Blank </w:t>
      </w:r>
      <w:r w:rsidR="00AC1A69">
        <w:rPr>
          <w:b/>
          <w:bCs/>
        </w:rPr>
        <w:t xml:space="preserve">Initial </w:t>
      </w:r>
      <w:r w:rsidRPr="00EA0D77">
        <w:rPr>
          <w:b/>
          <w:bCs/>
        </w:rPr>
        <w:t>Public Relations Plan Template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77E2B" w:rsidRPr="00396E8F" w14:paraId="50126C71" w14:textId="77777777" w:rsidTr="00EA0D77">
        <w:tc>
          <w:tcPr>
            <w:tcW w:w="2425" w:type="dxa"/>
          </w:tcPr>
          <w:p w14:paraId="19A383CF" w14:textId="77777777" w:rsidR="00877E2B" w:rsidRPr="00396E8F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6925" w:type="dxa"/>
          </w:tcPr>
          <w:p w14:paraId="03863E58" w14:textId="4D0FC275" w:rsidR="00877E2B" w:rsidRPr="00396E8F" w:rsidRDefault="00877E2B" w:rsidP="00EA0D77">
            <w:pPr>
              <w:pStyle w:val="a3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12F0776C" w14:textId="77777777" w:rsidTr="00EA0D77">
        <w:tc>
          <w:tcPr>
            <w:tcW w:w="2425" w:type="dxa"/>
          </w:tcPr>
          <w:p w14:paraId="579C6EA1" w14:textId="77777777" w:rsidR="00877E2B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  <w:p w14:paraId="6DD706E9" w14:textId="77777777" w:rsidR="00EA0D77" w:rsidRPr="00396E8F" w:rsidRDefault="00EA0D77" w:rsidP="00EA0D77">
            <w:pPr>
              <w:pStyle w:val="a3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66C4474E" w14:textId="77777777" w:rsidR="00877E2B" w:rsidRPr="00396E8F" w:rsidRDefault="00877E2B" w:rsidP="00EA0D77">
            <w:pPr>
              <w:pStyle w:val="a3"/>
              <w:numPr>
                <w:ilvl w:val="0"/>
                <w:numId w:val="6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0D325A1F" w14:textId="77777777" w:rsidTr="00EA0D77">
        <w:tc>
          <w:tcPr>
            <w:tcW w:w="2425" w:type="dxa"/>
          </w:tcPr>
          <w:p w14:paraId="2E2215EB" w14:textId="77777777" w:rsidR="00877E2B" w:rsidRPr="00396E8F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the Target Audience</w:t>
            </w:r>
          </w:p>
        </w:tc>
        <w:tc>
          <w:tcPr>
            <w:tcW w:w="6925" w:type="dxa"/>
          </w:tcPr>
          <w:p w14:paraId="748E2BC7" w14:textId="21216A28" w:rsidR="00877E2B" w:rsidRPr="00396E8F" w:rsidRDefault="00877E2B" w:rsidP="00EA0D77">
            <w:pPr>
              <w:pStyle w:val="a3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28CC5330" w14:textId="77777777" w:rsidTr="00EA0D77">
        <w:tc>
          <w:tcPr>
            <w:tcW w:w="2425" w:type="dxa"/>
          </w:tcPr>
          <w:p w14:paraId="332D3E93" w14:textId="25CF360E" w:rsidR="00877E2B" w:rsidRPr="00396E8F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>
              <w:br w:type="page"/>
            </w: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6925" w:type="dxa"/>
          </w:tcPr>
          <w:p w14:paraId="16968DD8" w14:textId="12ECA22C" w:rsidR="00877E2B" w:rsidRPr="00EA0D77" w:rsidRDefault="00877E2B" w:rsidP="00EA0D77">
            <w:pPr>
              <w:pStyle w:val="a3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44F838A2" w14:textId="77777777" w:rsidTr="00EA0D77">
        <w:tc>
          <w:tcPr>
            <w:tcW w:w="2425" w:type="dxa"/>
          </w:tcPr>
          <w:p w14:paraId="41A0295C" w14:textId="77777777" w:rsidR="00877E2B" w:rsidRPr="00396E8F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6925" w:type="dxa"/>
          </w:tcPr>
          <w:p w14:paraId="385F8EDB" w14:textId="77777777" w:rsidR="00877E2B" w:rsidRPr="00396E8F" w:rsidRDefault="00877E2B" w:rsidP="00EA0D77">
            <w:pPr>
              <w:ind w:left="436" w:hanging="270"/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877E2B" w:rsidRPr="00396E8F" w14:paraId="4F4F8ADF" w14:textId="77777777" w:rsidTr="00EA0D77">
        <w:tc>
          <w:tcPr>
            <w:tcW w:w="2425" w:type="dxa"/>
          </w:tcPr>
          <w:p w14:paraId="01A166DD" w14:textId="77777777" w:rsidR="00877E2B" w:rsidRPr="00396E8F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6925" w:type="dxa"/>
          </w:tcPr>
          <w:p w14:paraId="27F3CEC1" w14:textId="3BD95841" w:rsidR="00877E2B" w:rsidRPr="00EA0D77" w:rsidRDefault="00EA0D77" w:rsidP="00EA0D77">
            <w:pPr>
              <w:pStyle w:val="a3"/>
              <w:ind w:left="526" w:hanging="360"/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877E2B" w:rsidRPr="00396E8F" w14:paraId="1024DE98" w14:textId="77777777" w:rsidTr="00EA0D77">
        <w:tc>
          <w:tcPr>
            <w:tcW w:w="2425" w:type="dxa"/>
          </w:tcPr>
          <w:p w14:paraId="1AFD1BA5" w14:textId="77777777" w:rsidR="00877E2B" w:rsidRDefault="00877E2B" w:rsidP="00877E2B">
            <w:pPr>
              <w:pStyle w:val="a3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  <w:p w14:paraId="398F5A4D" w14:textId="77777777" w:rsidR="00EA0D77" w:rsidRPr="00396E8F" w:rsidRDefault="00EA0D77" w:rsidP="00EA0D77">
            <w:pPr>
              <w:pStyle w:val="a3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49605836" w14:textId="18980CDC" w:rsidR="00877E2B" w:rsidRPr="00396E8F" w:rsidRDefault="00877E2B" w:rsidP="00EA0D77">
            <w:pPr>
              <w:pStyle w:val="a3"/>
              <w:numPr>
                <w:ilvl w:val="0"/>
                <w:numId w:val="5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</w:p>
        </w:tc>
      </w:tr>
    </w:tbl>
    <w:p w14:paraId="0088C2BD" w14:textId="77777777" w:rsidR="00877E2B" w:rsidRDefault="00877E2B" w:rsidP="00523C2B"/>
    <w:p w14:paraId="2F38C1EF" w14:textId="00C092D8" w:rsidR="003C1106" w:rsidRDefault="003C1106" w:rsidP="00523C2B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Summary: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 Save your spreadsheet with a unique naming convention. This spreadsheet will be part of a peer review and will be submitted at the end of the course.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3C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7879"/>
    <w:multiLevelType w:val="hybridMultilevel"/>
    <w:tmpl w:val="16F0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472"/>
    <w:multiLevelType w:val="hybridMultilevel"/>
    <w:tmpl w:val="9B5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6D67"/>
    <w:multiLevelType w:val="hybridMultilevel"/>
    <w:tmpl w:val="9AEE10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855189F"/>
    <w:multiLevelType w:val="hybridMultilevel"/>
    <w:tmpl w:val="39A6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821E7"/>
    <w:multiLevelType w:val="hybridMultilevel"/>
    <w:tmpl w:val="AD10CE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10290978">
    <w:abstractNumId w:val="9"/>
  </w:num>
  <w:num w:numId="2" w16cid:durableId="1651594755">
    <w:abstractNumId w:val="6"/>
  </w:num>
  <w:num w:numId="3" w16cid:durableId="322247098">
    <w:abstractNumId w:val="1"/>
  </w:num>
  <w:num w:numId="4" w16cid:durableId="1945457198">
    <w:abstractNumId w:val="5"/>
  </w:num>
  <w:num w:numId="5" w16cid:durableId="528297595">
    <w:abstractNumId w:val="7"/>
  </w:num>
  <w:num w:numId="6" w16cid:durableId="1323318368">
    <w:abstractNumId w:val="8"/>
  </w:num>
  <w:num w:numId="7" w16cid:durableId="516233127">
    <w:abstractNumId w:val="0"/>
  </w:num>
  <w:num w:numId="8" w16cid:durableId="2026131109">
    <w:abstractNumId w:val="2"/>
  </w:num>
  <w:num w:numId="9" w16cid:durableId="979457677">
    <w:abstractNumId w:val="4"/>
  </w:num>
  <w:num w:numId="10" w16cid:durableId="1451321650">
    <w:abstractNumId w:val="10"/>
  </w:num>
  <w:num w:numId="11" w16cid:durableId="208105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e1MLcwtzS2NDNX0lEKTi0uzszPAykwrAUAxSsPHSwAAAA="/>
  </w:docVars>
  <w:rsids>
    <w:rsidRoot w:val="008F3A2D"/>
    <w:rsid w:val="001E0256"/>
    <w:rsid w:val="00255AD8"/>
    <w:rsid w:val="002A5F69"/>
    <w:rsid w:val="002B6FEF"/>
    <w:rsid w:val="003608B5"/>
    <w:rsid w:val="003C1106"/>
    <w:rsid w:val="00523C2B"/>
    <w:rsid w:val="005E5113"/>
    <w:rsid w:val="00676E95"/>
    <w:rsid w:val="006C27B2"/>
    <w:rsid w:val="007D25B2"/>
    <w:rsid w:val="00877E2B"/>
    <w:rsid w:val="008B58A3"/>
    <w:rsid w:val="008F3A2D"/>
    <w:rsid w:val="009A07D9"/>
    <w:rsid w:val="00AC1A69"/>
    <w:rsid w:val="00B57024"/>
    <w:rsid w:val="00B92571"/>
    <w:rsid w:val="00BE1C1E"/>
    <w:rsid w:val="00E4738D"/>
    <w:rsid w:val="00EA0D77"/>
    <w:rsid w:val="00F12A84"/>
    <w:rsid w:val="00F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C2B"/>
    <w:pPr>
      <w:ind w:left="720"/>
      <w:contextualSpacing/>
    </w:pPr>
  </w:style>
  <w:style w:type="table" w:styleId="a4">
    <w:name w:val="Table Grid"/>
    <w:basedOn w:val="a1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3C1106"/>
  </w:style>
  <w:style w:type="character" w:customStyle="1" w:styleId="eop">
    <w:name w:val="eop"/>
    <w:basedOn w:val="a0"/>
    <w:rsid w:val="003C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11</cp:revision>
  <dcterms:created xsi:type="dcterms:W3CDTF">2023-10-02T23:06:00Z</dcterms:created>
  <dcterms:modified xsi:type="dcterms:W3CDTF">2025-04-23T01:42:00Z</dcterms:modified>
</cp:coreProperties>
</file>