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3" w:val="single"/>
          <w:left w:color="808080" w:space="0" w:sz="3" w:val="single"/>
          <w:bottom w:color="808080" w:space="0" w:sz="3" w:val="single"/>
          <w:right w:color="808080" w:space="0" w:sz="3" w:val="single"/>
          <w:insideH w:color="808080" w:space="0" w:sz="3" w:val="single"/>
          <w:insideV w:color="808080" w:space="0" w:sz="3" w:val="single"/>
        </w:tblBorders>
        <w:tblLayout w:type="fixed"/>
        <w:tblLook w:val="0600"/>
      </w:tblPr>
      <w:tblGrid>
        <w:gridCol w:w="2542.7323954173976"/>
        <w:gridCol w:w="4767.0291450535515"/>
        <w:gridCol w:w="1715.750270552674"/>
        <w:tblGridChange w:id="0">
          <w:tblGrid>
            <w:gridCol w:w="2542.7323954173976"/>
            <w:gridCol w:w="4767.0291450535515"/>
            <w:gridCol w:w="1715.750270552674"/>
          </w:tblGrid>
        </w:tblGridChange>
      </w:tblGrid>
      <w:tr>
        <w:trPr>
          <w:cantSplit w:val="0"/>
          <w:trHeight w:val="1475" w:hRule="atLeast"/>
          <w:tblHeader w:val="0"/>
        </w:trPr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Recommended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Considerations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Microsoft Yahei" w:cs="Microsoft Yahei" w:eastAsia="Microsoft Yahei" w:hAnsi="Microsoft Yahei"/>
                <w:b w:val="1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Complete?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(Yes or 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5" w:hRule="atLeast"/>
          <w:tblHeader w:val="0"/>
        </w:trPr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Market Problem or Opportunity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Market problem or opportunity clearly defined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Considerations include reduced consumer costs, improved features, and functionality, or satisfying a gap or niche as applicable</w:t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Market Segments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Market segments defined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Multiple segments prioritized</w:t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Key Financials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Cost and benefits defined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Key financial metrics (ROI, IRR, NPV) calculated</w:t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Market Window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Launch and delivery milestones outlined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Urgency considerations defined</w:t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Competitive Landscape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List of top competitors provided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Competitor advantages and disadvantages documented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Competition strategy defined</w:t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Main Features and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MVP concept defined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Version feature schedule documented</w:t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Key Differentiators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Company strengths and leverage plan documented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Company weaknesses and mitigation plan documented</w:t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Go to Market 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Delivery options defined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Delivery logistics outlined</w:t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Business Success Measurements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Key Performance Indicators (KPI) listed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Measurement Plan provided</w:t>
            </w:r>
          </w:p>
        </w:tc>
        <w:tc>
          <w:tcPr>
            <w:tcBorders>
              <w:top w:color="808080" w:space="0" w:sz="3" w:val="single"/>
              <w:left w:color="808080" w:space="0" w:sz="3" w:val="single"/>
              <w:bottom w:color="808080" w:space="0" w:sz="3" w:val="single"/>
              <w:right w:color="80808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