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C6A82" w14:textId="54B6A5DB" w:rsidR="00F12A84" w:rsidRPr="006A1B62" w:rsidRDefault="00887125" w:rsidP="006A1B62">
      <w:pPr>
        <w:jc w:val="center"/>
        <w:rPr>
          <w:b/>
          <w:bCs/>
          <w:sz w:val="24"/>
          <w:szCs w:val="24"/>
        </w:rPr>
      </w:pPr>
      <w:r w:rsidRPr="006A1B62">
        <w:rPr>
          <w:b/>
          <w:bCs/>
          <w:sz w:val="24"/>
          <w:szCs w:val="24"/>
        </w:rPr>
        <w:t xml:space="preserve">Product End of Life (EOL) </w:t>
      </w:r>
      <w:r w:rsidR="00B06C6A" w:rsidRPr="006A1B62">
        <w:rPr>
          <w:b/>
          <w:bCs/>
          <w:sz w:val="24"/>
          <w:szCs w:val="24"/>
        </w:rPr>
        <w:t>Scenarios</w:t>
      </w:r>
      <w:r w:rsidR="00913AFB" w:rsidRPr="006A1B62">
        <w:rPr>
          <w:b/>
          <w:bCs/>
          <w:sz w:val="24"/>
          <w:szCs w:val="24"/>
        </w:rPr>
        <w:t xml:space="preserve"> Worksheet</w:t>
      </w:r>
    </w:p>
    <w:p w14:paraId="2EB405D0" w14:textId="420132A2" w:rsidR="00887125" w:rsidRPr="007106AB" w:rsidRDefault="00887125">
      <w:pPr>
        <w:rPr>
          <w:b/>
          <w:bCs/>
          <w:sz w:val="24"/>
          <w:szCs w:val="24"/>
        </w:rPr>
      </w:pPr>
      <w:r w:rsidRPr="007106AB">
        <w:rPr>
          <w:b/>
          <w:bCs/>
          <w:sz w:val="24"/>
          <w:szCs w:val="24"/>
        </w:rPr>
        <w:t xml:space="preserve">Evaluate </w:t>
      </w:r>
      <w:r w:rsidR="00B948DF">
        <w:rPr>
          <w:b/>
          <w:bCs/>
          <w:sz w:val="24"/>
          <w:szCs w:val="24"/>
        </w:rPr>
        <w:t>t</w:t>
      </w:r>
      <w:r w:rsidRPr="007106AB">
        <w:rPr>
          <w:b/>
          <w:bCs/>
          <w:sz w:val="24"/>
          <w:szCs w:val="24"/>
        </w:rPr>
        <w:t xml:space="preserve">hree </w:t>
      </w:r>
      <w:r w:rsidR="00B948DF">
        <w:rPr>
          <w:b/>
          <w:bCs/>
          <w:sz w:val="24"/>
          <w:szCs w:val="24"/>
        </w:rPr>
        <w:t>p</w:t>
      </w:r>
      <w:r w:rsidRPr="007106AB">
        <w:rPr>
          <w:b/>
          <w:bCs/>
          <w:sz w:val="24"/>
          <w:szCs w:val="24"/>
        </w:rPr>
        <w:t xml:space="preserve">roduct </w:t>
      </w:r>
      <w:r w:rsidR="00B948DF">
        <w:rPr>
          <w:b/>
          <w:bCs/>
          <w:sz w:val="24"/>
          <w:szCs w:val="24"/>
        </w:rPr>
        <w:t>s</w:t>
      </w:r>
      <w:r w:rsidRPr="007106AB">
        <w:rPr>
          <w:b/>
          <w:bCs/>
          <w:sz w:val="24"/>
          <w:szCs w:val="24"/>
        </w:rPr>
        <w:t>cenarios.</w:t>
      </w:r>
    </w:p>
    <w:p w14:paraId="47EE6EB5" w14:textId="5CEC341B" w:rsidR="00B948DF" w:rsidRPr="00B948DF" w:rsidRDefault="00B948DF" w:rsidP="00B948DF">
      <w:pPr>
        <w:rPr>
          <w:sz w:val="24"/>
          <w:szCs w:val="24"/>
        </w:rPr>
      </w:pPr>
      <w:r w:rsidRPr="00B948DF">
        <w:rPr>
          <w:sz w:val="24"/>
          <w:szCs w:val="24"/>
        </w:rPr>
        <w:t>In this l</w:t>
      </w:r>
      <w:r>
        <w:rPr>
          <w:sz w:val="24"/>
          <w:szCs w:val="24"/>
        </w:rPr>
        <w:t>ab</w:t>
      </w:r>
      <w:r w:rsidRPr="00B948DF">
        <w:rPr>
          <w:sz w:val="24"/>
          <w:szCs w:val="24"/>
        </w:rPr>
        <w:t xml:space="preserve">, </w:t>
      </w:r>
      <w:r w:rsidR="002E7E44">
        <w:rPr>
          <w:sz w:val="24"/>
          <w:szCs w:val="24"/>
        </w:rPr>
        <w:t>you</w:t>
      </w:r>
      <w:r w:rsidRPr="00B948DF">
        <w:rPr>
          <w:sz w:val="24"/>
          <w:szCs w:val="24"/>
        </w:rPr>
        <w:t xml:space="preserve"> will delve into the product scenarios of three prominent tech companies: Microsoft, Apple, and Int</w:t>
      </w:r>
      <w:r>
        <w:rPr>
          <w:sz w:val="24"/>
          <w:szCs w:val="24"/>
        </w:rPr>
        <w:t>el</w:t>
      </w:r>
      <w:r w:rsidR="005F53AA">
        <w:rPr>
          <w:sz w:val="24"/>
          <w:szCs w:val="24"/>
        </w:rPr>
        <w:t xml:space="preserve">. </w:t>
      </w:r>
      <w:r w:rsidR="002E7E44">
        <w:rPr>
          <w:sz w:val="24"/>
          <w:szCs w:val="24"/>
        </w:rPr>
        <w:t>You</w:t>
      </w:r>
      <w:r w:rsidR="005F53AA">
        <w:rPr>
          <w:sz w:val="24"/>
          <w:szCs w:val="24"/>
        </w:rPr>
        <w:t xml:space="preserve"> will</w:t>
      </w:r>
      <w:r w:rsidRPr="00B948DF">
        <w:rPr>
          <w:sz w:val="24"/>
          <w:szCs w:val="24"/>
        </w:rPr>
        <w:t xml:space="preserve"> explore their respective product update strategies. Additionally, </w:t>
      </w:r>
      <w:r w:rsidR="002E7E44">
        <w:rPr>
          <w:sz w:val="24"/>
          <w:szCs w:val="24"/>
        </w:rPr>
        <w:t>you</w:t>
      </w:r>
      <w:r w:rsidRPr="00B948DF">
        <w:rPr>
          <w:sz w:val="24"/>
          <w:szCs w:val="24"/>
        </w:rPr>
        <w:t xml:space="preserve"> will introduce the key considerations in End-of-Life (EOL) planning and provide a structured worksheet for documenting the evaluation process.</w:t>
      </w:r>
    </w:p>
    <w:p w14:paraId="6D9C5E3D" w14:textId="77777777" w:rsidR="00B948DF" w:rsidRDefault="00B948DF" w:rsidP="00B948DF">
      <w:pPr>
        <w:rPr>
          <w:sz w:val="24"/>
          <w:szCs w:val="24"/>
        </w:rPr>
      </w:pPr>
      <w:r w:rsidRPr="00B948DF">
        <w:rPr>
          <w:b/>
          <w:bCs/>
          <w:sz w:val="24"/>
          <w:szCs w:val="24"/>
        </w:rPr>
        <w:t>Microsoft:</w:t>
      </w:r>
      <w:r>
        <w:rPr>
          <w:sz w:val="24"/>
          <w:szCs w:val="24"/>
        </w:rPr>
        <w:t xml:space="preserve"> </w:t>
      </w:r>
    </w:p>
    <w:p w14:paraId="2119E9C0" w14:textId="1FCBEEFF" w:rsidR="00B948DF" w:rsidRPr="00B948DF" w:rsidRDefault="00B948DF" w:rsidP="00B948DF">
      <w:pPr>
        <w:rPr>
          <w:sz w:val="24"/>
          <w:szCs w:val="24"/>
        </w:rPr>
      </w:pPr>
      <w:r w:rsidRPr="00B948DF">
        <w:rPr>
          <w:sz w:val="24"/>
          <w:szCs w:val="24"/>
        </w:rPr>
        <w:t>Microsoft routinely updates its Windows operating systems. The company plans to release Windows 12 in late 2024, unveiling a prototype desktop redesign under the codename "Next Valley." Microsoft anticipates changes to the lock screen, notification center, and widespread AI integration throughout the operating system. Following Windows 12, Microsoft has scheduled Windows 13 for 2027, with Windows 14 set to follow in 2030.</w:t>
      </w:r>
    </w:p>
    <w:p w14:paraId="66C7CEF7" w14:textId="77777777" w:rsidR="00B948DF" w:rsidRDefault="00B948DF" w:rsidP="00B948DF">
      <w:pPr>
        <w:rPr>
          <w:b/>
          <w:bCs/>
          <w:sz w:val="24"/>
          <w:szCs w:val="24"/>
        </w:rPr>
      </w:pPr>
      <w:r w:rsidRPr="00B948DF">
        <w:rPr>
          <w:b/>
          <w:bCs/>
          <w:sz w:val="24"/>
          <w:szCs w:val="24"/>
        </w:rPr>
        <w:t>Apple</w:t>
      </w:r>
      <w:r>
        <w:rPr>
          <w:b/>
          <w:bCs/>
          <w:sz w:val="24"/>
          <w:szCs w:val="24"/>
        </w:rPr>
        <w:t>:</w:t>
      </w:r>
    </w:p>
    <w:p w14:paraId="7A2935FA" w14:textId="5592FDDF" w:rsidR="00B948DF" w:rsidRPr="00B948DF" w:rsidRDefault="00B948DF" w:rsidP="00B948DF">
      <w:pPr>
        <w:rPr>
          <w:sz w:val="24"/>
          <w:szCs w:val="24"/>
        </w:rPr>
      </w:pPr>
      <w:r w:rsidRPr="00B948DF">
        <w:rPr>
          <w:sz w:val="24"/>
          <w:szCs w:val="24"/>
        </w:rPr>
        <w:t>Apple unveils a new iPhone model annually, with the iPhone Verio 15 launching in September 2023. We can anticipate subsequent models in 2024, 2025, and beyond. Apple often updates the iPhone operating system, iOS, along with these models.</w:t>
      </w:r>
    </w:p>
    <w:p w14:paraId="4AB42362" w14:textId="77777777" w:rsidR="00B948DF" w:rsidRPr="00B948DF" w:rsidRDefault="00B948DF" w:rsidP="00B948DF">
      <w:pPr>
        <w:rPr>
          <w:b/>
          <w:bCs/>
          <w:sz w:val="24"/>
          <w:szCs w:val="24"/>
        </w:rPr>
      </w:pPr>
      <w:r w:rsidRPr="00B948DF">
        <w:rPr>
          <w:b/>
          <w:bCs/>
          <w:sz w:val="24"/>
          <w:szCs w:val="24"/>
        </w:rPr>
        <w:t>Intel:</w:t>
      </w:r>
    </w:p>
    <w:p w14:paraId="1A089FC0" w14:textId="3963F4D3" w:rsidR="00B948DF" w:rsidRPr="00B948DF" w:rsidRDefault="00B948DF" w:rsidP="00B948DF">
      <w:pPr>
        <w:rPr>
          <w:sz w:val="24"/>
          <w:szCs w:val="24"/>
        </w:rPr>
      </w:pPr>
      <w:r w:rsidRPr="00B948DF">
        <w:rPr>
          <w:sz w:val="24"/>
          <w:szCs w:val="24"/>
        </w:rPr>
        <w:t>Intel regularly launches new processors, updating product lines at varying intervals. The Core i7 and Core i9 processors typically see updates every one to two years, whereas the Core i5 line undergoes less frequent updates. The upcoming 14th Gen Meteor Lake chips, set to release in December 2023, showcase a novel design prioritizing efficiency over performance. This hybrid architecture incorporates performance cores (P-cores), denoted as Redwood Cove, and efficiency cores (E-cores), known as Crestmont. This strategy marks a shift toward enhanced efficiency within Intel's latest processor line, catering to evolving technological demands.</w:t>
      </w:r>
    </w:p>
    <w:p w14:paraId="4F97FFBE" w14:textId="77777777" w:rsidR="00B948DF" w:rsidRDefault="00B948DF" w:rsidP="00B948DF">
      <w:pPr>
        <w:rPr>
          <w:sz w:val="24"/>
          <w:szCs w:val="24"/>
        </w:rPr>
      </w:pPr>
    </w:p>
    <w:p w14:paraId="0FE852E2" w14:textId="187B5BD2" w:rsidR="00B948DF" w:rsidRPr="00B948DF" w:rsidRDefault="00B948DF" w:rsidP="00B948DF">
      <w:pPr>
        <w:rPr>
          <w:sz w:val="24"/>
          <w:szCs w:val="24"/>
        </w:rPr>
      </w:pPr>
      <w:r w:rsidRPr="00B948DF">
        <w:rPr>
          <w:sz w:val="24"/>
          <w:szCs w:val="24"/>
        </w:rPr>
        <w:t>End-of-Life (EOL) planning</w:t>
      </w:r>
      <w:r>
        <w:rPr>
          <w:sz w:val="24"/>
          <w:szCs w:val="24"/>
        </w:rPr>
        <w:t xml:space="preserve"> requires </w:t>
      </w:r>
      <w:r w:rsidRPr="00B948DF">
        <w:rPr>
          <w:sz w:val="24"/>
          <w:szCs w:val="24"/>
        </w:rPr>
        <w:t xml:space="preserve">a comprehensive assessment of </w:t>
      </w:r>
      <w:r w:rsidR="002E7E44">
        <w:rPr>
          <w:sz w:val="24"/>
          <w:szCs w:val="24"/>
        </w:rPr>
        <w:t xml:space="preserve">the </w:t>
      </w:r>
      <w:r>
        <w:rPr>
          <w:sz w:val="24"/>
          <w:szCs w:val="24"/>
        </w:rPr>
        <w:t xml:space="preserve">following </w:t>
      </w:r>
      <w:r w:rsidRPr="00B948DF">
        <w:rPr>
          <w:sz w:val="24"/>
          <w:szCs w:val="24"/>
        </w:rPr>
        <w:t>critical factors:</w:t>
      </w:r>
    </w:p>
    <w:p w14:paraId="5EC06BE9" w14:textId="77777777" w:rsidR="00B948DF" w:rsidRPr="00B948DF" w:rsidRDefault="00B948DF" w:rsidP="00B948DF">
      <w:pPr>
        <w:pStyle w:val="a3"/>
        <w:numPr>
          <w:ilvl w:val="0"/>
          <w:numId w:val="5"/>
        </w:numPr>
        <w:rPr>
          <w:sz w:val="24"/>
          <w:szCs w:val="24"/>
        </w:rPr>
      </w:pPr>
      <w:r w:rsidRPr="00B948DF">
        <w:rPr>
          <w:sz w:val="24"/>
          <w:szCs w:val="24"/>
        </w:rPr>
        <w:t>Product Identification: Determine whether the product should be defined along with any other retirement ramifications.</w:t>
      </w:r>
    </w:p>
    <w:p w14:paraId="16F8B23F" w14:textId="77777777" w:rsidR="00B948DF" w:rsidRPr="00B948DF" w:rsidRDefault="00B948DF" w:rsidP="00B948DF">
      <w:pPr>
        <w:pStyle w:val="a3"/>
        <w:numPr>
          <w:ilvl w:val="0"/>
          <w:numId w:val="5"/>
        </w:numPr>
        <w:rPr>
          <w:sz w:val="24"/>
          <w:szCs w:val="24"/>
        </w:rPr>
      </w:pPr>
      <w:r w:rsidRPr="00B948DF">
        <w:rPr>
          <w:sz w:val="24"/>
          <w:szCs w:val="24"/>
        </w:rPr>
        <w:t>Rationale: Evaluate whether the firm should provide an explanation for the product's retirement.</w:t>
      </w:r>
    </w:p>
    <w:p w14:paraId="5DDAE43D" w14:textId="77777777" w:rsidR="00B948DF" w:rsidRPr="00B948DF" w:rsidRDefault="00B948DF" w:rsidP="00B948DF">
      <w:pPr>
        <w:pStyle w:val="a3"/>
        <w:numPr>
          <w:ilvl w:val="0"/>
          <w:numId w:val="5"/>
        </w:numPr>
        <w:rPr>
          <w:sz w:val="24"/>
          <w:szCs w:val="24"/>
        </w:rPr>
      </w:pPr>
      <w:r w:rsidRPr="00B948DF">
        <w:rPr>
          <w:sz w:val="24"/>
          <w:szCs w:val="24"/>
        </w:rPr>
        <w:t>Retirement Strategy: Assess the necessity of defining or explaining the strategy governing the retirement process.</w:t>
      </w:r>
    </w:p>
    <w:p w14:paraId="3172F1B2" w14:textId="77777777" w:rsidR="00B948DF" w:rsidRPr="00B948DF" w:rsidRDefault="00B948DF" w:rsidP="00B948DF">
      <w:pPr>
        <w:pStyle w:val="a3"/>
        <w:numPr>
          <w:ilvl w:val="0"/>
          <w:numId w:val="5"/>
        </w:numPr>
        <w:rPr>
          <w:sz w:val="24"/>
          <w:szCs w:val="24"/>
        </w:rPr>
      </w:pPr>
      <w:r w:rsidRPr="00B948DF">
        <w:rPr>
          <w:sz w:val="24"/>
          <w:szCs w:val="24"/>
        </w:rPr>
        <w:t>Proposed Mitigation Plan: Consider whether the firm should explain the retirement process.</w:t>
      </w:r>
    </w:p>
    <w:p w14:paraId="21AF04F8" w14:textId="77777777" w:rsidR="00B948DF" w:rsidRPr="00B948DF" w:rsidRDefault="00B948DF" w:rsidP="00B948DF">
      <w:pPr>
        <w:rPr>
          <w:sz w:val="24"/>
          <w:szCs w:val="24"/>
        </w:rPr>
      </w:pPr>
    </w:p>
    <w:p w14:paraId="525E66A0" w14:textId="77777777" w:rsidR="00B948DF" w:rsidRPr="00B948DF" w:rsidRDefault="00B948DF" w:rsidP="00B948DF">
      <w:pPr>
        <w:pStyle w:val="a3"/>
        <w:numPr>
          <w:ilvl w:val="0"/>
          <w:numId w:val="5"/>
        </w:numPr>
        <w:rPr>
          <w:sz w:val="24"/>
          <w:szCs w:val="24"/>
        </w:rPr>
      </w:pPr>
      <w:r w:rsidRPr="00B948DF">
        <w:rPr>
          <w:sz w:val="24"/>
          <w:szCs w:val="24"/>
        </w:rPr>
        <w:lastRenderedPageBreak/>
        <w:t>Communications Planning: Determine if the development of a Communications Management Plan is crucial to support internal and external stakeholders.</w:t>
      </w:r>
    </w:p>
    <w:p w14:paraId="0A93DB60" w14:textId="77777777" w:rsidR="00B948DF" w:rsidRPr="00B948DF" w:rsidRDefault="00B948DF" w:rsidP="00B948DF">
      <w:pPr>
        <w:pStyle w:val="a3"/>
        <w:numPr>
          <w:ilvl w:val="0"/>
          <w:numId w:val="5"/>
        </w:numPr>
        <w:rPr>
          <w:sz w:val="24"/>
          <w:szCs w:val="24"/>
        </w:rPr>
      </w:pPr>
      <w:r w:rsidRPr="00B948DF">
        <w:rPr>
          <w:sz w:val="24"/>
          <w:szCs w:val="24"/>
        </w:rPr>
        <w:t>Internal Impact: Address the importance of defining and managing internal impacts stemming from retirement.</w:t>
      </w:r>
    </w:p>
    <w:p w14:paraId="65539DC8" w14:textId="77777777" w:rsidR="00B948DF" w:rsidRPr="00B948DF" w:rsidRDefault="00B948DF" w:rsidP="00B948DF">
      <w:pPr>
        <w:pStyle w:val="a3"/>
        <w:numPr>
          <w:ilvl w:val="0"/>
          <w:numId w:val="5"/>
        </w:numPr>
        <w:rPr>
          <w:sz w:val="24"/>
          <w:szCs w:val="24"/>
        </w:rPr>
      </w:pPr>
      <w:r w:rsidRPr="00B948DF">
        <w:rPr>
          <w:sz w:val="24"/>
          <w:szCs w:val="24"/>
        </w:rPr>
        <w:t>External Impact: Analyze and manage the anticipated impact on external stakeholders.</w:t>
      </w:r>
    </w:p>
    <w:p w14:paraId="53D8EC6E" w14:textId="77777777" w:rsidR="00B948DF" w:rsidRPr="00B948DF" w:rsidRDefault="00B948DF" w:rsidP="00B948DF">
      <w:pPr>
        <w:pStyle w:val="a3"/>
        <w:numPr>
          <w:ilvl w:val="0"/>
          <w:numId w:val="5"/>
        </w:numPr>
        <w:rPr>
          <w:sz w:val="24"/>
          <w:szCs w:val="24"/>
        </w:rPr>
      </w:pPr>
      <w:r w:rsidRPr="00B948DF">
        <w:rPr>
          <w:sz w:val="24"/>
          <w:szCs w:val="24"/>
        </w:rPr>
        <w:t>Cost Analysis: Evaluate the necessity for the firm to conduct a comprehensive cost/benefit analysis.</w:t>
      </w:r>
    </w:p>
    <w:p w14:paraId="43F30B95" w14:textId="77777777" w:rsidR="00B948DF" w:rsidRPr="00B948DF" w:rsidRDefault="00B948DF" w:rsidP="00B948DF">
      <w:pPr>
        <w:pStyle w:val="a3"/>
        <w:numPr>
          <w:ilvl w:val="0"/>
          <w:numId w:val="5"/>
        </w:numPr>
        <w:rPr>
          <w:sz w:val="24"/>
          <w:szCs w:val="24"/>
        </w:rPr>
      </w:pPr>
      <w:r w:rsidRPr="00B948DF">
        <w:rPr>
          <w:sz w:val="24"/>
          <w:szCs w:val="24"/>
        </w:rPr>
        <w:t>Risk Analysis: Determine if the firm should perform a thorough risk analysis and develop mitigation plans to address potential challenges and unforeseen consequences.</w:t>
      </w:r>
    </w:p>
    <w:p w14:paraId="5E1021E1" w14:textId="77777777" w:rsidR="00B948DF" w:rsidRPr="00B948DF" w:rsidRDefault="00B948DF" w:rsidP="00B948DF">
      <w:pPr>
        <w:rPr>
          <w:b/>
          <w:bCs/>
          <w:sz w:val="24"/>
          <w:szCs w:val="24"/>
        </w:rPr>
      </w:pPr>
    </w:p>
    <w:p w14:paraId="2BF08AE8" w14:textId="77777777" w:rsidR="00B948DF" w:rsidRPr="00B948DF" w:rsidRDefault="00B948DF" w:rsidP="00B948DF">
      <w:pPr>
        <w:rPr>
          <w:b/>
          <w:bCs/>
          <w:sz w:val="24"/>
          <w:szCs w:val="24"/>
        </w:rPr>
      </w:pPr>
    </w:p>
    <w:p w14:paraId="58E66907" w14:textId="24E71ECA" w:rsidR="007106AB" w:rsidRDefault="001C3EB3" w:rsidP="007106AB">
      <w:pPr>
        <w:rPr>
          <w:rFonts w:cstheme="minorHAnsi"/>
          <w:b/>
          <w:bCs/>
          <w:sz w:val="24"/>
          <w:szCs w:val="24"/>
          <w:lang w:val="en-IN"/>
        </w:rPr>
      </w:pPr>
      <w:r>
        <w:rPr>
          <w:rFonts w:cstheme="minorHAnsi"/>
          <w:b/>
          <w:bCs/>
          <w:sz w:val="24"/>
          <w:szCs w:val="24"/>
          <w:lang w:val="en-IN"/>
        </w:rPr>
        <w:t>Use this Worksheet to Document Your EOL Evaluation</w:t>
      </w:r>
    </w:p>
    <w:tbl>
      <w:tblPr>
        <w:tblStyle w:val="a5"/>
        <w:tblW w:w="0" w:type="auto"/>
        <w:tblLook w:val="04A0" w:firstRow="1" w:lastRow="0" w:firstColumn="1" w:lastColumn="0" w:noHBand="0" w:noVBand="1"/>
      </w:tblPr>
      <w:tblGrid>
        <w:gridCol w:w="2847"/>
        <w:gridCol w:w="1530"/>
        <w:gridCol w:w="5215"/>
      </w:tblGrid>
      <w:tr w:rsidR="001C3EB3" w14:paraId="09AE7CCB" w14:textId="77777777" w:rsidTr="001C3EB3">
        <w:tc>
          <w:tcPr>
            <w:tcW w:w="2605" w:type="dxa"/>
            <w:shd w:val="clear" w:color="auto" w:fill="DEEAF6" w:themeFill="accent5" w:themeFillTint="33"/>
          </w:tcPr>
          <w:p w14:paraId="63F7AD7B" w14:textId="6072C3D8" w:rsidR="001C3EB3" w:rsidRPr="001C3EB3" w:rsidRDefault="001C3EB3" w:rsidP="001C3EB3">
            <w:pPr>
              <w:jc w:val="center"/>
              <w:rPr>
                <w:sz w:val="28"/>
                <w:szCs w:val="28"/>
              </w:rPr>
            </w:pPr>
            <w:r w:rsidRPr="001C3EB3">
              <w:rPr>
                <w:sz w:val="28"/>
                <w:szCs w:val="28"/>
              </w:rPr>
              <w:t>EOL Planning Consideration</w:t>
            </w:r>
          </w:p>
        </w:tc>
        <w:tc>
          <w:tcPr>
            <w:tcW w:w="1530" w:type="dxa"/>
            <w:shd w:val="clear" w:color="auto" w:fill="DEEAF6" w:themeFill="accent5" w:themeFillTint="33"/>
          </w:tcPr>
          <w:p w14:paraId="2FC72319" w14:textId="4AD4A6B5" w:rsidR="001C3EB3" w:rsidRPr="001C3EB3" w:rsidRDefault="001C3EB3" w:rsidP="001C3EB3">
            <w:pPr>
              <w:jc w:val="center"/>
              <w:rPr>
                <w:sz w:val="28"/>
                <w:szCs w:val="28"/>
              </w:rPr>
            </w:pPr>
            <w:r w:rsidRPr="001C3EB3">
              <w:rPr>
                <w:sz w:val="28"/>
                <w:szCs w:val="28"/>
              </w:rPr>
              <w:t>Applicable (Y/N)</w:t>
            </w:r>
          </w:p>
        </w:tc>
        <w:tc>
          <w:tcPr>
            <w:tcW w:w="5215" w:type="dxa"/>
            <w:shd w:val="clear" w:color="auto" w:fill="DEEAF6" w:themeFill="accent5" w:themeFillTint="33"/>
          </w:tcPr>
          <w:p w14:paraId="059A40A4" w14:textId="70F15AAA" w:rsidR="001C3EB3" w:rsidRPr="001C3EB3" w:rsidRDefault="001C3EB3" w:rsidP="001C3EB3">
            <w:pPr>
              <w:jc w:val="center"/>
              <w:rPr>
                <w:sz w:val="28"/>
                <w:szCs w:val="28"/>
              </w:rPr>
            </w:pPr>
            <w:r w:rsidRPr="001C3EB3">
              <w:rPr>
                <w:sz w:val="28"/>
                <w:szCs w:val="28"/>
              </w:rPr>
              <w:t>Comments</w:t>
            </w:r>
          </w:p>
        </w:tc>
      </w:tr>
      <w:tr w:rsidR="001C3EB3" w14:paraId="6CD3F193" w14:textId="77777777" w:rsidTr="001C3EB3">
        <w:tc>
          <w:tcPr>
            <w:tcW w:w="2605" w:type="dxa"/>
            <w:vAlign w:val="center"/>
          </w:tcPr>
          <w:p w14:paraId="05F6277B" w14:textId="30F0FAAF" w:rsidR="001C3EB3" w:rsidRPr="001C3EB3" w:rsidRDefault="001C3EB3" w:rsidP="001C3EB3">
            <w:pPr>
              <w:pStyle w:val="a3"/>
              <w:numPr>
                <w:ilvl w:val="0"/>
                <w:numId w:val="3"/>
              </w:numPr>
              <w:rPr>
                <w:sz w:val="28"/>
                <w:szCs w:val="28"/>
              </w:rPr>
            </w:pPr>
            <w:r w:rsidRPr="001C3EB3">
              <w:rPr>
                <w:sz w:val="28"/>
                <w:szCs w:val="28"/>
              </w:rPr>
              <w:t>Product Identification</w:t>
            </w:r>
          </w:p>
        </w:tc>
        <w:tc>
          <w:tcPr>
            <w:tcW w:w="1530" w:type="dxa"/>
          </w:tcPr>
          <w:p w14:paraId="4F5541D8" w14:textId="1B5B17BF"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14CBE319" w14:textId="0C3DB9C9" w:rsidR="001C3EB3" w:rsidRPr="001C3EB3" w:rsidRDefault="00405CAA" w:rsidP="007106AB">
            <w:pPr>
              <w:rPr>
                <w:sz w:val="28"/>
                <w:szCs w:val="28"/>
              </w:rPr>
            </w:pPr>
            <w:r w:rsidRPr="00405CAA">
              <w:rPr>
                <w:sz w:val="28"/>
                <w:szCs w:val="28"/>
              </w:rPr>
              <w:t>All three companies release updated versions regularly. Clear product versioning and SKUs are essential for EOL targeting.</w:t>
            </w:r>
          </w:p>
        </w:tc>
      </w:tr>
      <w:tr w:rsidR="001C3EB3" w14:paraId="512EF3D1" w14:textId="77777777" w:rsidTr="001C3EB3">
        <w:tc>
          <w:tcPr>
            <w:tcW w:w="2605" w:type="dxa"/>
            <w:vAlign w:val="center"/>
          </w:tcPr>
          <w:p w14:paraId="3B9EEBFF" w14:textId="77777777" w:rsidR="001C3EB3" w:rsidRPr="001C3EB3" w:rsidRDefault="001C3EB3" w:rsidP="001C3EB3">
            <w:pPr>
              <w:pStyle w:val="a3"/>
              <w:numPr>
                <w:ilvl w:val="0"/>
                <w:numId w:val="3"/>
              </w:numPr>
              <w:rPr>
                <w:sz w:val="28"/>
                <w:szCs w:val="28"/>
              </w:rPr>
            </w:pPr>
            <w:r w:rsidRPr="001C3EB3">
              <w:rPr>
                <w:sz w:val="28"/>
                <w:szCs w:val="28"/>
              </w:rPr>
              <w:t>Rationale</w:t>
            </w:r>
          </w:p>
          <w:p w14:paraId="19E776C9" w14:textId="108F220F" w:rsidR="001C3EB3" w:rsidRPr="001C3EB3" w:rsidRDefault="001C3EB3" w:rsidP="007106AB">
            <w:pPr>
              <w:rPr>
                <w:sz w:val="28"/>
                <w:szCs w:val="28"/>
              </w:rPr>
            </w:pPr>
          </w:p>
        </w:tc>
        <w:tc>
          <w:tcPr>
            <w:tcW w:w="1530" w:type="dxa"/>
          </w:tcPr>
          <w:p w14:paraId="5FC4C387" w14:textId="10AAC638"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1A8DE8F6" w14:textId="1DA350A1" w:rsidR="001C3EB3" w:rsidRPr="001C3EB3" w:rsidRDefault="00405CAA" w:rsidP="007106AB">
            <w:pPr>
              <w:rPr>
                <w:sz w:val="28"/>
                <w:szCs w:val="28"/>
              </w:rPr>
            </w:pPr>
            <w:r w:rsidRPr="00405CAA">
              <w:rPr>
                <w:sz w:val="28"/>
                <w:szCs w:val="28"/>
              </w:rPr>
              <w:t>The rationale often includes tech advancements, cost reduction, and strategic product evolution.</w:t>
            </w:r>
          </w:p>
        </w:tc>
      </w:tr>
      <w:tr w:rsidR="001C3EB3" w14:paraId="5A011BE1" w14:textId="77777777" w:rsidTr="001C3EB3">
        <w:tc>
          <w:tcPr>
            <w:tcW w:w="2605" w:type="dxa"/>
            <w:vAlign w:val="center"/>
          </w:tcPr>
          <w:p w14:paraId="2BA2F03D" w14:textId="77777777" w:rsidR="001C3EB3" w:rsidRPr="001C3EB3" w:rsidRDefault="001C3EB3" w:rsidP="001C3EB3">
            <w:pPr>
              <w:pStyle w:val="a3"/>
              <w:numPr>
                <w:ilvl w:val="0"/>
                <w:numId w:val="3"/>
              </w:numPr>
              <w:rPr>
                <w:sz w:val="28"/>
                <w:szCs w:val="28"/>
              </w:rPr>
            </w:pPr>
            <w:r w:rsidRPr="001C3EB3">
              <w:rPr>
                <w:sz w:val="28"/>
                <w:szCs w:val="28"/>
              </w:rPr>
              <w:t>Retirement Strategy</w:t>
            </w:r>
          </w:p>
          <w:p w14:paraId="114C7996" w14:textId="7EC43BDA" w:rsidR="001C3EB3" w:rsidRPr="001C3EB3" w:rsidRDefault="001C3EB3" w:rsidP="007106AB">
            <w:pPr>
              <w:rPr>
                <w:sz w:val="28"/>
                <w:szCs w:val="28"/>
              </w:rPr>
            </w:pPr>
          </w:p>
        </w:tc>
        <w:tc>
          <w:tcPr>
            <w:tcW w:w="1530" w:type="dxa"/>
          </w:tcPr>
          <w:p w14:paraId="3DE12F1B" w14:textId="0282FEEE"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02D900D2" w14:textId="45053EB8" w:rsidR="001C3EB3" w:rsidRPr="001C3EB3" w:rsidRDefault="00405CAA" w:rsidP="007106AB">
            <w:pPr>
              <w:rPr>
                <w:sz w:val="28"/>
                <w:szCs w:val="28"/>
              </w:rPr>
            </w:pPr>
            <w:r w:rsidRPr="00405CAA">
              <w:rPr>
                <w:sz w:val="28"/>
                <w:szCs w:val="28"/>
              </w:rPr>
              <w:t>Each company applies a planned obsolescence or generational update strategy.</w:t>
            </w:r>
          </w:p>
        </w:tc>
      </w:tr>
      <w:tr w:rsidR="001C3EB3" w14:paraId="0FA387EC" w14:textId="77777777" w:rsidTr="001C3EB3">
        <w:tc>
          <w:tcPr>
            <w:tcW w:w="2605" w:type="dxa"/>
            <w:vAlign w:val="center"/>
          </w:tcPr>
          <w:p w14:paraId="77976B4B" w14:textId="16E75F7E" w:rsidR="001C3EB3" w:rsidRPr="001C3EB3" w:rsidRDefault="001C3EB3" w:rsidP="001C3EB3">
            <w:pPr>
              <w:pStyle w:val="a3"/>
              <w:numPr>
                <w:ilvl w:val="0"/>
                <w:numId w:val="3"/>
              </w:numPr>
              <w:rPr>
                <w:sz w:val="28"/>
                <w:szCs w:val="28"/>
              </w:rPr>
            </w:pPr>
            <w:r w:rsidRPr="001C3EB3">
              <w:rPr>
                <w:sz w:val="28"/>
                <w:szCs w:val="28"/>
              </w:rPr>
              <w:t>Proposed Migration Plan</w:t>
            </w:r>
          </w:p>
        </w:tc>
        <w:tc>
          <w:tcPr>
            <w:tcW w:w="1530" w:type="dxa"/>
          </w:tcPr>
          <w:p w14:paraId="06FC03F3" w14:textId="767AA6DB"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0D3043BE" w14:textId="1E57C0A7" w:rsidR="001C3EB3" w:rsidRPr="001C3EB3" w:rsidRDefault="00405CAA" w:rsidP="007106AB">
            <w:pPr>
              <w:rPr>
                <w:sz w:val="28"/>
                <w:szCs w:val="28"/>
              </w:rPr>
            </w:pPr>
            <w:r w:rsidRPr="00405CAA">
              <w:rPr>
                <w:sz w:val="28"/>
                <w:szCs w:val="28"/>
              </w:rPr>
              <w:t>Migration plans such as OS upgrade paths are essential, especially for large user bases.</w:t>
            </w:r>
          </w:p>
        </w:tc>
      </w:tr>
      <w:tr w:rsidR="001C3EB3" w14:paraId="65CCCCF7" w14:textId="77777777" w:rsidTr="001C3EB3">
        <w:tc>
          <w:tcPr>
            <w:tcW w:w="2605" w:type="dxa"/>
            <w:vAlign w:val="center"/>
          </w:tcPr>
          <w:p w14:paraId="0FA22F8B" w14:textId="364834BC" w:rsidR="001C3EB3" w:rsidRPr="001C3EB3" w:rsidRDefault="001C3EB3" w:rsidP="001C3EB3">
            <w:pPr>
              <w:pStyle w:val="a3"/>
              <w:numPr>
                <w:ilvl w:val="0"/>
                <w:numId w:val="3"/>
              </w:numPr>
              <w:rPr>
                <w:sz w:val="28"/>
                <w:szCs w:val="28"/>
              </w:rPr>
            </w:pPr>
            <w:r w:rsidRPr="001C3EB3">
              <w:rPr>
                <w:sz w:val="28"/>
                <w:szCs w:val="28"/>
              </w:rPr>
              <w:t>Communications Management Planning</w:t>
            </w:r>
          </w:p>
        </w:tc>
        <w:tc>
          <w:tcPr>
            <w:tcW w:w="1530" w:type="dxa"/>
          </w:tcPr>
          <w:p w14:paraId="5C06B3EC" w14:textId="5A601AD1"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08314911" w14:textId="3BCF891E" w:rsidR="001C3EB3" w:rsidRPr="001C3EB3" w:rsidRDefault="00405CAA" w:rsidP="007106AB">
            <w:pPr>
              <w:rPr>
                <w:sz w:val="28"/>
                <w:szCs w:val="28"/>
              </w:rPr>
            </w:pPr>
            <w:r w:rsidRPr="00405CAA">
              <w:rPr>
                <w:sz w:val="28"/>
                <w:szCs w:val="28"/>
              </w:rPr>
              <w:t>Clear communication to users and partners avoids confusion and backlash.</w:t>
            </w:r>
          </w:p>
        </w:tc>
      </w:tr>
      <w:tr w:rsidR="001C3EB3" w14:paraId="0FBD6E00" w14:textId="77777777" w:rsidTr="001C3EB3">
        <w:tc>
          <w:tcPr>
            <w:tcW w:w="2605" w:type="dxa"/>
            <w:vAlign w:val="center"/>
          </w:tcPr>
          <w:p w14:paraId="7CE01DFB" w14:textId="37AA6484" w:rsidR="001C3EB3" w:rsidRPr="001C3EB3" w:rsidRDefault="001C3EB3" w:rsidP="001C3EB3">
            <w:pPr>
              <w:pStyle w:val="a3"/>
              <w:numPr>
                <w:ilvl w:val="0"/>
                <w:numId w:val="3"/>
              </w:numPr>
              <w:rPr>
                <w:sz w:val="28"/>
                <w:szCs w:val="28"/>
              </w:rPr>
            </w:pPr>
            <w:r w:rsidRPr="001C3EB3">
              <w:rPr>
                <w:sz w:val="28"/>
                <w:szCs w:val="28"/>
              </w:rPr>
              <w:t>Internal Impact Analysis</w:t>
            </w:r>
          </w:p>
        </w:tc>
        <w:tc>
          <w:tcPr>
            <w:tcW w:w="1530" w:type="dxa"/>
          </w:tcPr>
          <w:p w14:paraId="3CEB28DC" w14:textId="33F1AD0D"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248B515F" w14:textId="43D65DB9" w:rsidR="001C3EB3" w:rsidRPr="001C3EB3" w:rsidRDefault="00405CAA" w:rsidP="007106AB">
            <w:pPr>
              <w:rPr>
                <w:sz w:val="28"/>
                <w:szCs w:val="28"/>
              </w:rPr>
            </w:pPr>
            <w:r w:rsidRPr="00405CAA">
              <w:rPr>
                <w:sz w:val="28"/>
                <w:szCs w:val="28"/>
              </w:rPr>
              <w:t>Internal teams need alignment on engineering, support, and logistics.</w:t>
            </w:r>
          </w:p>
        </w:tc>
      </w:tr>
      <w:tr w:rsidR="001C3EB3" w14:paraId="6115FD02" w14:textId="77777777" w:rsidTr="001C3EB3">
        <w:tc>
          <w:tcPr>
            <w:tcW w:w="2605" w:type="dxa"/>
            <w:vAlign w:val="center"/>
          </w:tcPr>
          <w:p w14:paraId="7131AA39" w14:textId="32FC20E8" w:rsidR="001C3EB3" w:rsidRPr="001C3EB3" w:rsidRDefault="001C3EB3" w:rsidP="001C3EB3">
            <w:pPr>
              <w:pStyle w:val="a3"/>
              <w:numPr>
                <w:ilvl w:val="0"/>
                <w:numId w:val="3"/>
              </w:numPr>
              <w:rPr>
                <w:sz w:val="28"/>
                <w:szCs w:val="28"/>
              </w:rPr>
            </w:pPr>
            <w:r w:rsidRPr="001C3EB3">
              <w:rPr>
                <w:sz w:val="28"/>
                <w:szCs w:val="28"/>
              </w:rPr>
              <w:t>External Impact Analysis</w:t>
            </w:r>
          </w:p>
        </w:tc>
        <w:tc>
          <w:tcPr>
            <w:tcW w:w="1530" w:type="dxa"/>
          </w:tcPr>
          <w:p w14:paraId="195C3DB4" w14:textId="59889F7E"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02B7D293" w14:textId="60A3463B" w:rsidR="001C3EB3" w:rsidRPr="001C3EB3" w:rsidRDefault="00405CAA" w:rsidP="007106AB">
            <w:pPr>
              <w:rPr>
                <w:sz w:val="28"/>
                <w:szCs w:val="28"/>
              </w:rPr>
            </w:pPr>
            <w:r w:rsidRPr="00405CAA">
              <w:rPr>
                <w:sz w:val="28"/>
                <w:szCs w:val="28"/>
              </w:rPr>
              <w:t>Users, partners, OEMs must be considered—especially in hardware transitions.</w:t>
            </w:r>
          </w:p>
        </w:tc>
      </w:tr>
      <w:tr w:rsidR="001C3EB3" w14:paraId="3BEA1E07" w14:textId="77777777" w:rsidTr="001C3EB3">
        <w:tc>
          <w:tcPr>
            <w:tcW w:w="2605" w:type="dxa"/>
            <w:vAlign w:val="center"/>
          </w:tcPr>
          <w:p w14:paraId="75CE7704" w14:textId="77777777" w:rsidR="001C3EB3" w:rsidRDefault="001C3EB3" w:rsidP="001C3EB3">
            <w:pPr>
              <w:pStyle w:val="a3"/>
              <w:numPr>
                <w:ilvl w:val="0"/>
                <w:numId w:val="3"/>
              </w:numPr>
              <w:rPr>
                <w:sz w:val="28"/>
                <w:szCs w:val="28"/>
              </w:rPr>
            </w:pPr>
            <w:r w:rsidRPr="001C3EB3">
              <w:rPr>
                <w:sz w:val="28"/>
                <w:szCs w:val="28"/>
              </w:rPr>
              <w:t>Cost Analysis</w:t>
            </w:r>
          </w:p>
          <w:p w14:paraId="4E6EF16E" w14:textId="01715213" w:rsidR="001C3EB3" w:rsidRPr="001C3EB3" w:rsidRDefault="001C3EB3" w:rsidP="001C3EB3">
            <w:pPr>
              <w:pStyle w:val="a3"/>
              <w:rPr>
                <w:sz w:val="28"/>
                <w:szCs w:val="28"/>
              </w:rPr>
            </w:pPr>
          </w:p>
        </w:tc>
        <w:tc>
          <w:tcPr>
            <w:tcW w:w="1530" w:type="dxa"/>
          </w:tcPr>
          <w:p w14:paraId="1130EFB1" w14:textId="695B8175"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1D680DE7" w14:textId="6A43B068" w:rsidR="001C3EB3" w:rsidRPr="001C3EB3" w:rsidRDefault="00405CAA" w:rsidP="007106AB">
            <w:pPr>
              <w:rPr>
                <w:sz w:val="28"/>
                <w:szCs w:val="28"/>
              </w:rPr>
            </w:pPr>
            <w:r w:rsidRPr="00405CAA">
              <w:rPr>
                <w:sz w:val="28"/>
                <w:szCs w:val="28"/>
              </w:rPr>
              <w:t>Cost of continued support vs. upgrade incentive must be evaluated.</w:t>
            </w:r>
          </w:p>
        </w:tc>
      </w:tr>
      <w:tr w:rsidR="001C3EB3" w14:paraId="37ED4A3B" w14:textId="77777777" w:rsidTr="001C3EB3">
        <w:tc>
          <w:tcPr>
            <w:tcW w:w="2605" w:type="dxa"/>
            <w:vAlign w:val="center"/>
          </w:tcPr>
          <w:p w14:paraId="263C6B63" w14:textId="77777777" w:rsidR="001C3EB3" w:rsidRDefault="001C3EB3" w:rsidP="001C3EB3">
            <w:pPr>
              <w:pStyle w:val="a3"/>
              <w:numPr>
                <w:ilvl w:val="0"/>
                <w:numId w:val="3"/>
              </w:numPr>
              <w:rPr>
                <w:sz w:val="28"/>
                <w:szCs w:val="28"/>
              </w:rPr>
            </w:pPr>
            <w:r w:rsidRPr="001C3EB3">
              <w:rPr>
                <w:sz w:val="28"/>
                <w:szCs w:val="28"/>
              </w:rPr>
              <w:lastRenderedPageBreak/>
              <w:t>Risk Analysis</w:t>
            </w:r>
          </w:p>
          <w:p w14:paraId="7E7E0AC8" w14:textId="492A93FF" w:rsidR="001C3EB3" w:rsidRPr="001C3EB3" w:rsidRDefault="001C3EB3" w:rsidP="001C3EB3">
            <w:pPr>
              <w:pStyle w:val="a3"/>
              <w:rPr>
                <w:sz w:val="28"/>
                <w:szCs w:val="28"/>
              </w:rPr>
            </w:pPr>
          </w:p>
        </w:tc>
        <w:tc>
          <w:tcPr>
            <w:tcW w:w="1530" w:type="dxa"/>
          </w:tcPr>
          <w:p w14:paraId="44709E75" w14:textId="768259CA" w:rsidR="001C3EB3" w:rsidRPr="001C3EB3" w:rsidRDefault="00405CAA" w:rsidP="007106AB">
            <w:pPr>
              <w:rPr>
                <w:sz w:val="28"/>
                <w:szCs w:val="28"/>
              </w:rPr>
            </w:pPr>
            <w:r>
              <w:rPr>
                <w:rFonts w:ascii="PMingLiU" w:eastAsia="PMingLiU" w:hAnsi="PMingLiU" w:hint="eastAsia"/>
                <w:sz w:val="28"/>
                <w:szCs w:val="28"/>
                <w:lang w:eastAsia="zh-TW"/>
              </w:rPr>
              <w:t>Y</w:t>
            </w:r>
          </w:p>
        </w:tc>
        <w:tc>
          <w:tcPr>
            <w:tcW w:w="5215" w:type="dxa"/>
          </w:tcPr>
          <w:p w14:paraId="2F7BB576" w14:textId="1A500E36" w:rsidR="001C3EB3" w:rsidRPr="001C3EB3" w:rsidRDefault="00405CAA" w:rsidP="007106AB">
            <w:pPr>
              <w:rPr>
                <w:sz w:val="28"/>
                <w:szCs w:val="28"/>
              </w:rPr>
            </w:pPr>
            <w:r w:rsidRPr="00405CAA">
              <w:rPr>
                <w:sz w:val="28"/>
                <w:szCs w:val="28"/>
              </w:rPr>
              <w:t>Risks include customer dissatisfaction, legal issues, and brand damage if poorly handled.</w:t>
            </w:r>
          </w:p>
        </w:tc>
      </w:tr>
    </w:tbl>
    <w:p w14:paraId="657C156F" w14:textId="77777777" w:rsidR="001C3EB3" w:rsidRPr="008B7F6D" w:rsidRDefault="001C3EB3" w:rsidP="007106AB">
      <w:pPr>
        <w:rPr>
          <w:sz w:val="24"/>
          <w:szCs w:val="24"/>
        </w:rPr>
      </w:pPr>
    </w:p>
    <w:sectPr w:rsidR="001C3EB3" w:rsidRPr="008B7F6D" w:rsidSect="00607BC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2DB0"/>
    <w:multiLevelType w:val="hybridMultilevel"/>
    <w:tmpl w:val="F9A6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C53530"/>
    <w:multiLevelType w:val="hybridMultilevel"/>
    <w:tmpl w:val="6034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61B04"/>
    <w:multiLevelType w:val="hybridMultilevel"/>
    <w:tmpl w:val="1300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704EF"/>
    <w:multiLevelType w:val="hybridMultilevel"/>
    <w:tmpl w:val="D90C3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1D96"/>
    <w:multiLevelType w:val="multilevel"/>
    <w:tmpl w:val="055E5B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310483">
    <w:abstractNumId w:val="4"/>
  </w:num>
  <w:num w:numId="2" w16cid:durableId="1948349643">
    <w:abstractNumId w:val="1"/>
  </w:num>
  <w:num w:numId="3" w16cid:durableId="496964273">
    <w:abstractNumId w:val="3"/>
  </w:num>
  <w:num w:numId="4" w16cid:durableId="1298027485">
    <w:abstractNumId w:val="2"/>
  </w:num>
  <w:num w:numId="5" w16cid:durableId="171160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25"/>
    <w:rsid w:val="001C3EB3"/>
    <w:rsid w:val="002E7E44"/>
    <w:rsid w:val="00405CAA"/>
    <w:rsid w:val="00505095"/>
    <w:rsid w:val="005F53AA"/>
    <w:rsid w:val="00607BC9"/>
    <w:rsid w:val="006A1B62"/>
    <w:rsid w:val="006C27B2"/>
    <w:rsid w:val="007106AB"/>
    <w:rsid w:val="007A3321"/>
    <w:rsid w:val="00835C90"/>
    <w:rsid w:val="008362BA"/>
    <w:rsid w:val="00887125"/>
    <w:rsid w:val="008B7F6D"/>
    <w:rsid w:val="00913AFB"/>
    <w:rsid w:val="00A14084"/>
    <w:rsid w:val="00B06C6A"/>
    <w:rsid w:val="00B948DF"/>
    <w:rsid w:val="00E93F16"/>
    <w:rsid w:val="00F12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350843B"/>
  <w15:chartTrackingRefBased/>
  <w15:docId w15:val="{82C40787-8245-42D7-9EB4-B1A23C6C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125"/>
    <w:pPr>
      <w:ind w:left="720"/>
      <w:contextualSpacing/>
    </w:pPr>
  </w:style>
  <w:style w:type="character" w:styleId="a4">
    <w:name w:val="Hyperlink"/>
    <w:basedOn w:val="a0"/>
    <w:uiPriority w:val="99"/>
    <w:unhideWhenUsed/>
    <w:rsid w:val="00887125"/>
    <w:rPr>
      <w:color w:val="0563C1" w:themeColor="hyperlink"/>
      <w:u w:val="single"/>
    </w:rPr>
  </w:style>
  <w:style w:type="table" w:styleId="a5">
    <w:name w:val="Table Grid"/>
    <w:basedOn w:val="a1"/>
    <w:uiPriority w:val="39"/>
    <w:rsid w:val="001C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9511-E147-4A27-83B0-12082EF4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wayne chang</cp:lastModifiedBy>
  <cp:revision>11</cp:revision>
  <dcterms:created xsi:type="dcterms:W3CDTF">2023-09-28T19:10:00Z</dcterms:created>
  <dcterms:modified xsi:type="dcterms:W3CDTF">2025-04-29T17:49:00Z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8cbc758d698cf050dea4add1515b1ca0ce753c48cbdb2460c5d5363f30ea2231</vt:lpwstr>
  </property>
</Properties>
</file>