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XXL-JOB 任务调度中心（mno-pp）</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初测</w:t>
      </w:r>
    </w:p>
    <w:p/>
    <w:p/>
    <w:p/>
    <w:p/>
    <w:p/>
    <w:p/>
    <w:p>
      <w:pPr>
        <w:jc w:val="center"/>
      </w:pPr>
      <w:r>
        <w:rPr>
          <w:rFonts w:ascii="微软雅黑" w:hAnsi="微软雅黑" w:eastAsia="微软雅黑"/>
          <w:b w:val="0"/>
          <w:sz w:val="26"/>
        </w:rPr>
        <w:t>委托单位：东风商用车有限公司</w:t>
      </w:r>
    </w:p>
    <w:p>
      <w:pPr>
        <w:jc w:val="center"/>
      </w:pPr>
      <w:r>
        <w:rPr>
          <w:rFonts w:ascii="微软雅黑" w:hAnsi="微软雅黑" w:eastAsia="微软雅黑"/>
          <w:b w:val="0"/>
          <w:sz w:val="26"/>
        </w:rPr>
        <w:t>测试人员：安全测试组</w:t>
      </w:r>
    </w:p>
    <w:p>
      <w:pPr>
        <w:jc w:val="center"/>
      </w:pPr>
      <w:r>
        <w:rPr>
          <w:rFonts w:ascii="微软雅黑" w:hAnsi="微软雅黑" w:eastAsia="微软雅黑"/>
          <w:b w:val="0"/>
          <w:sz w:val="26"/>
        </w:rPr>
        <w:t>测试日期：2026年07月06日</w:t>
      </w:r>
    </w:p>
    <w:p/>
    <w:p/>
    <w:p/>
    <w:p/>
    <w:p/>
    <w:p/>
    <w:p>
      <w:pPr>
        <w:jc w:val="center"/>
      </w:pPr>
      <w:r>
        <w:rPr>
          <w:rFonts w:ascii="微软雅黑" w:hAnsi="微软雅黑" w:eastAsia="微软雅黑"/>
          <w:b w:val="0"/>
          <w:sz w:val="24"/>
        </w:rPr>
        <w:t>安全测试组</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https://mno-pp.dfcv.com.cn/toLogin（经指纹识别为 XXL-JOB 分布式任务调度中心，环境标识 -dev）开展应用安全检测，全面识别应用系统面临的安全风险隐患，包含业务安全风险，及时采取相应的技术措施进行安全防范和修复加固，降低攻击入侵，提升业务系统安全健壮性，保障业务系统安全运行。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 Web Security Testing Guide v4.2》（现行稳定版；v5.0 仍在开发中）</w:t>
      </w:r>
    </w:p>
    <w:p>
      <w:pPr>
        <w:pStyle w:val="ListBullet"/>
      </w:pPr>
      <w:r>
        <w:t>《OWASP Top 10:2025》（OWASP 官网现行发布版）</w:t>
      </w:r>
    </w:p>
    <w:p>
      <w:pPr>
        <w:pStyle w:val="ListBullet"/>
      </w:pPr>
      <w:r>
        <w:t>《渗透测试执行标准 PTES（Penetration Testing Execution Standard）》</w:t>
      </w:r>
    </w:p>
    <w:p>
      <w:pPr>
        <w:pStyle w:val="ListBullet"/>
      </w:pPr>
      <w:r>
        <w:t>《ISO/IEC 27001:2022 信息安全管理体系》（现行版本）</w:t>
      </w:r>
    </w:p>
    <w:p>
      <w:pPr>
        <w:pStyle w:val="ListBullet"/>
      </w:pPr>
      <w:r>
        <w:t>《GB/T 30279-2020 信息安全技术 网络安全漏洞分类分级指南》（现行，替代 GB/T 30279-2013）</w:t>
      </w:r>
    </w:p>
    <w:p>
      <w:pPr>
        <w:pStyle w:val="ListBullet"/>
      </w:pPr>
      <w:r>
        <w:t>《GB/T 30276-2020 信息安全技术 网络安全漏洞管理规范》</w:t>
      </w:r>
    </w:p>
    <w:p>
      <w:pPr>
        <w:pStyle w:val="ListBullet"/>
      </w:pPr>
      <w:r>
        <w:t>《GB/T 22239-2019 信息安全技术 网络安全等级保护基本要求》（2025-05-30 复审继续有效）</w:t>
      </w:r>
    </w:p>
    <w:p>
      <w:pPr>
        <w:pStyle w:val="ListBullet"/>
      </w:pPr>
      <w:r>
        <w:t>《GB/T 40856-2021 车载信息交互系统信息安全技术要求及试验方法》</w:t>
      </w:r>
    </w:p>
    <w:p>
      <w:pPr>
        <w:pStyle w:val="ListBullet"/>
      </w:pPr>
      <w:r>
        <w:t>《汽车数据安全管理若干规定（试行）》</w:t>
      </w:r>
    </w:p>
    <w:p>
      <w:pPr>
        <w:pStyle w:val="ListBullet"/>
      </w:pPr>
      <w:r>
        <w:t>《UN R155（车辆网络安全与网络安全管理系统）》</w:t>
      </w:r>
    </w:p>
    <w:p>
      <w:pPr>
        <w:pStyle w:val="ListBullet"/>
      </w:pPr>
      <w:r>
        <w:t>《UN R156（软件升级与软件升级管理系统）》</w:t>
      </w:r>
    </w:p>
    <w:p>
      <w:pPr>
        <w:pStyle w:val="ListBullet"/>
      </w:pPr>
      <w:r>
        <w:t>《中华人民共和国网络安全法》（2025-10-28 修正通过，2026-01-01 施行，现行有效）</w:t>
      </w:r>
    </w:p>
    <w:p>
      <w:pPr>
        <w:pStyle w:val="ListBullet"/>
      </w:pPr>
      <w:r>
        <w:t>《中华人民共和国数据安全法》（现行有效）</w:t>
      </w:r>
    </w:p>
    <w:p>
      <w:pPr>
        <w:pStyle w:val="ListBullet"/>
      </w:pPr>
      <w:r>
        <w:t>《中华人民共和国个人信息保护法》（现行有效）</w:t>
      </w:r>
    </w:p>
    <w:p>
      <w:r>
        <w:rPr>
          <w:i/>
        </w:rPr>
        <w:t>注：银行/证券/电网等专有行业标准与本次被测对象无关，未列入；上述标准每次执行检测前应重新核对是否有更新。</w:t>
      </w:r>
    </w:p>
    <w:p>
      <w:pPr>
        <w:pStyle w:val="Heading2"/>
      </w:pPr>
      <w:r>
        <w:t>适用说明</w:t>
      </w:r>
    </w:p>
    <w:p>
      <w:r>
        <w:rPr>
          <w:i w:val="0"/>
        </w:rPr>
        <w:t>针对软件应用（含移动服务端、C/S 服务端等）开展应用安全检测，本次被测对象为 XXL-JOB 任务调度中心管理控制台，不涉及主机、配置等其他检测。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例如：避免造成被测评系统的性能明显下降、网络拥塞、服务中断等。本次不删除或修改任务、不触发真实任务、不创建或执行 GLUE/脚本任务、不进行高强度爆破、不执行破坏性注入类测试。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59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Nmap / Goby</w:t>
            </w:r>
          </w:p>
        </w:tc>
        <w:tc>
          <w:tcPr>
            <w:tcW w:type="dxa" w:w="2880"/>
          </w:tcPr>
          <w:p>
            <w:r>
              <w:t>信息收集</w:t>
            </w:r>
          </w:p>
        </w:tc>
        <w:tc>
          <w:tcPr>
            <w:tcW w:type="dxa" w:w="2880"/>
          </w:tcPr>
          <w:p>
            <w:r>
              <w:t>端口与服务探测、资产与组件指纹识别</w:t>
            </w:r>
          </w:p>
        </w:tc>
      </w:tr>
      <w:tr>
        <w:tc>
          <w:tcPr>
            <w:tcW w:type="dxa" w:w="2880"/>
          </w:tcPr>
          <w:p>
            <w:r>
              <w:t>cURL</w:t>
            </w:r>
          </w:p>
        </w:tc>
        <w:tc>
          <w:tcPr>
            <w:tcW w:type="dxa" w:w="2880"/>
          </w:tcPr>
          <w:p>
            <w:r>
              <w:t>接口测试</w:t>
            </w:r>
          </w:p>
        </w:tc>
        <w:tc>
          <w:tcPr>
            <w:tcW w:type="dxa" w:w="2880"/>
          </w:tcPr>
          <w:p>
            <w:r>
              <w:t>命令行 HTTP 客户端，用于请求构造、HTTP 方法/CORS/错误处理/会话核验</w:t>
            </w:r>
          </w:p>
        </w:tc>
      </w:tr>
      <w:tr>
        <w:tc>
          <w:tcPr>
            <w:tcW w:type="dxa" w:w="2880"/>
          </w:tcPr>
          <w:p>
            <w:r>
              <w:t>Python 脚本</w:t>
            </w:r>
          </w:p>
        </w:tc>
        <w:tc>
          <w:tcPr>
            <w:tcW w:type="dxa" w:w="2880"/>
          </w:tcPr>
          <w:p>
            <w:r>
              <w:t>自动化测试</w:t>
            </w:r>
          </w:p>
        </w:tc>
        <w:tc>
          <w:tcPr>
            <w:tcW w:type="dxa" w:w="2880"/>
          </w:tcPr>
          <w:p>
            <w:r>
              <w:t>HTTP 请求构造、响应时间测量、Cookie 结构分析</w:t>
            </w:r>
          </w:p>
        </w:tc>
      </w:tr>
      <w:tr>
        <w:tc>
          <w:tcPr>
            <w:tcW w:type="dxa" w:w="2880"/>
          </w:tcPr>
          <w:p>
            <w:r>
              <w:t>Chrome 浏览器</w:t>
            </w:r>
          </w:p>
        </w:tc>
        <w:tc>
          <w:tcPr>
            <w:tcW w:type="dxa" w:w="2880"/>
          </w:tcPr>
          <w:p>
            <w:r>
              <w:t>认证态核验/取证</w:t>
            </w:r>
          </w:p>
        </w:tc>
        <w:tc>
          <w:tcPr>
            <w:tcW w:type="dxa" w:w="2880"/>
          </w:tcPr>
          <w:p>
            <w:r>
              <w:t>管理员登录、页面与接口核验、截图取证</w:t>
            </w:r>
          </w:p>
        </w:tc>
      </w:tr>
      <w:tr>
        <w:tc>
          <w:tcPr>
            <w:tcW w:type="dxa" w:w="2880"/>
          </w:tcPr>
          <w:p>
            <w:r>
              <w:t>cpolar</w:t>
            </w:r>
          </w:p>
        </w:tc>
        <w:tc>
          <w:tcPr>
            <w:tcW w:type="dxa" w:w="2880"/>
          </w:tcPr>
          <w:p>
            <w:r>
              <w:t>内网穿透</w:t>
            </w:r>
          </w:p>
        </w:tc>
        <w:tc>
          <w:tcPr>
            <w:tcW w:type="dxa" w:w="2880"/>
          </w:tcPr>
          <w:p>
            <w:r>
              <w:t>将委托方内网目标经 HTTP 隧道映射为可达地址</w:t>
            </w:r>
          </w:p>
        </w:tc>
      </w:tr>
    </w:tbl>
    <w:p>
      <w:r>
        <w:rPr>
          <w:i/>
        </w:rPr>
        <w:t>说明：本次遵循非破坏原则，未使用 SQLmap、AWVS/Appscan/Xray 等自动化攻击/扫描工具执行验证性攻击，故仅列出实际使用的工具。</w:t>
      </w:r>
    </w:p>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2026年07月</w:t>
            </w:r>
          </w:p>
        </w:tc>
        <w:tc>
          <w:tcPr>
            <w:tcW w:type="dxa" w:w="2160"/>
          </w:tcPr>
          <w:p>
            <w:r>
              <w:t>V1.0</w:t>
            </w:r>
          </w:p>
        </w:tc>
        <w:tc>
          <w:tcPr>
            <w:tcW w:type="dxa" w:w="2160"/>
          </w:tcPr>
          <w:p>
            <w:r>
              <w:t>创建应用安全检测报告（初测）</w:t>
            </w:r>
          </w:p>
        </w:tc>
        <w:tc>
          <w:tcPr>
            <w:tcW w:type="dxa" w:w="2160"/>
          </w:tcPr>
          <w:p>
            <w:r>
              <w:t>安全测试组</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XXL-JOB 任务调度中心（mno-pp / -dev）</w:t>
            </w:r>
          </w:p>
        </w:tc>
        <w:tc>
          <w:tcPr>
            <w:tcW w:type="dxa" w:w="2160"/>
          </w:tcPr>
          <w:p>
            <w:r>
              <w:t>待定级（建议按等保定级）</w:t>
            </w:r>
          </w:p>
        </w:tc>
        <w:tc>
          <w:tcPr>
            <w:tcW w:type="dxa" w:w="2160"/>
          </w:tcPr>
          <w:p>
            <w:r>
              <w:t>https://mno-pp.dfcv.com.cn/toLogin</w:t>
            </w:r>
          </w:p>
        </w:tc>
        <w:tc>
          <w:tcPr>
            <w:tcW w:type="dxa" w:w="2160"/>
          </w:tcPr>
          <w:p>
            <w:r>
              <w:t>未获取（经 cpolar 隧道访问，未探测目标主机 IP）</w:t>
            </w:r>
          </w:p>
        </w:tc>
      </w:tr>
    </w:tbl>
    <w:p>
      <w:pPr>
        <w:pStyle w:val="Heading2"/>
      </w:pPr>
      <w:r>
        <w:t>风险信息</w:t>
      </w:r>
    </w:p>
    <w:p>
      <w:r>
        <w:rPr>
          <w:i w:val="0"/>
        </w:rPr>
        <w:t>本次安全检测共完成 59 项检测内容，共计发现 21 个安全风险，其中严重风险 5 个、高危风险 8 个、中危风险 8 个、低危风险 0 个（判定为“不符合”）。另有“符合” 10 项、“未测试” 21 项、“不涉及” 7 项，本次检测不通过。</w:t>
      </w:r>
    </w:p>
    <w:p>
      <w:r>
        <w:rPr>
          <w:i w:val="0"/>
        </w:rPr>
        <w:t>“未测试” 21 项系因仅有单一管理员账号、生产环境非破坏性约束或经隧道无法验证等原因，在本次条件下无法完成验证，据实标记并说明原因；“不涉及” 7 项系统不涉及对应功能场景（如无 XML 接口、无 LDAP、无 AK/SK 等）。</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3.1.1</w:t>
            </w:r>
          </w:p>
        </w:tc>
        <w:tc>
          <w:tcPr>
            <w:tcW w:type="dxa" w:w="1728"/>
          </w:tcPr>
          <w:p>
            <w:r>
              <w:t>应用端口服务安全测试</w:t>
            </w:r>
          </w:p>
        </w:tc>
        <w:tc>
          <w:tcPr>
            <w:tcW w:type="dxa" w:w="1728"/>
          </w:tcPr>
          <w:p>
            <w:r>
              <w:rPr>
                <w:b/>
                <w:color w:val="C00000"/>
              </w:rPr>
              <w:t>严重</w:t>
            </w:r>
          </w:p>
        </w:tc>
        <w:tc>
          <w:tcPr>
            <w:tcW w:type="dxa" w:w="1728"/>
          </w:tcPr>
          <w:p>
            <w:r/>
          </w:p>
        </w:tc>
      </w:tr>
      <w:tr>
        <w:tc>
          <w:tcPr>
            <w:tcW w:type="dxa" w:w="1728"/>
          </w:tcPr>
          <w:p>
            <w:r>
              <w:t>2</w:t>
            </w:r>
          </w:p>
        </w:tc>
        <w:tc>
          <w:tcPr>
            <w:tcW w:type="dxa" w:w="1728"/>
          </w:tcPr>
          <w:p>
            <w:r>
              <w:t>3.2.1</w:t>
            </w:r>
          </w:p>
        </w:tc>
        <w:tc>
          <w:tcPr>
            <w:tcW w:type="dxa" w:w="1728"/>
          </w:tcPr>
          <w:p>
            <w:r>
              <w:t>应用软件及相关组件版本基线安全测试</w:t>
            </w:r>
          </w:p>
        </w:tc>
        <w:tc>
          <w:tcPr>
            <w:tcW w:type="dxa" w:w="1728"/>
          </w:tcPr>
          <w:p>
            <w:r>
              <w:rPr>
                <w:b/>
                <w:color w:val="E36C09"/>
              </w:rPr>
              <w:t>高</w:t>
            </w:r>
          </w:p>
        </w:tc>
        <w:tc>
          <w:tcPr>
            <w:tcW w:type="dxa" w:w="1728"/>
          </w:tcPr>
          <w:p>
            <w:r/>
          </w:p>
        </w:tc>
      </w:tr>
      <w:tr>
        <w:tc>
          <w:tcPr>
            <w:tcW w:type="dxa" w:w="1728"/>
          </w:tcPr>
          <w:p>
            <w:r>
              <w:t>3</w:t>
            </w:r>
          </w:p>
        </w:tc>
        <w:tc>
          <w:tcPr>
            <w:tcW w:type="dxa" w:w="1728"/>
          </w:tcPr>
          <w:p>
            <w:r>
              <w:t>3.3.1</w:t>
            </w:r>
          </w:p>
        </w:tc>
        <w:tc>
          <w:tcPr>
            <w:tcW w:type="dxa" w:w="1728"/>
          </w:tcPr>
          <w:p>
            <w:r>
              <w:t>前端JS库软件版本安全测试</w:t>
            </w:r>
          </w:p>
        </w:tc>
        <w:tc>
          <w:tcPr>
            <w:tcW w:type="dxa" w:w="1728"/>
          </w:tcPr>
          <w:p>
            <w:r>
              <w:rPr>
                <w:b/>
                <w:color w:val="BF8F00"/>
              </w:rPr>
              <w:t>中</w:t>
            </w:r>
          </w:p>
        </w:tc>
        <w:tc>
          <w:tcPr>
            <w:tcW w:type="dxa" w:w="1728"/>
          </w:tcPr>
          <w:p>
            <w:r/>
          </w:p>
        </w:tc>
      </w:tr>
      <w:tr>
        <w:tc>
          <w:tcPr>
            <w:tcW w:type="dxa" w:w="1728"/>
          </w:tcPr>
          <w:p>
            <w:r>
              <w:t>4</w:t>
            </w:r>
          </w:p>
        </w:tc>
        <w:tc>
          <w:tcPr>
            <w:tcW w:type="dxa" w:w="1728"/>
          </w:tcPr>
          <w:p>
            <w:r>
              <w:t>3.4.1</w:t>
            </w:r>
          </w:p>
        </w:tc>
        <w:tc>
          <w:tcPr>
            <w:tcW w:type="dxa" w:w="1728"/>
          </w:tcPr>
          <w:p>
            <w:r>
              <w:t>软件版本信息泄漏安全测试</w:t>
            </w:r>
          </w:p>
        </w:tc>
        <w:tc>
          <w:tcPr>
            <w:tcW w:type="dxa" w:w="1728"/>
          </w:tcPr>
          <w:p>
            <w:r>
              <w:rPr>
                <w:b/>
                <w:color w:val="BF8F00"/>
              </w:rPr>
              <w:t>中</w:t>
            </w:r>
          </w:p>
        </w:tc>
        <w:tc>
          <w:tcPr>
            <w:tcW w:type="dxa" w:w="1728"/>
          </w:tcPr>
          <w:p>
            <w:r/>
          </w:p>
        </w:tc>
      </w:tr>
      <w:tr>
        <w:tc>
          <w:tcPr>
            <w:tcW w:type="dxa" w:w="1728"/>
          </w:tcPr>
          <w:p>
            <w:r>
              <w:t>5</w:t>
            </w:r>
          </w:p>
        </w:tc>
        <w:tc>
          <w:tcPr>
            <w:tcW w:type="dxa" w:w="1728"/>
          </w:tcPr>
          <w:p>
            <w:r>
              <w:t>3.4.2</w:t>
            </w:r>
          </w:p>
        </w:tc>
        <w:tc>
          <w:tcPr>
            <w:tcW w:type="dxa" w:w="1728"/>
          </w:tcPr>
          <w:p>
            <w:r>
              <w:t>防重放攻击、防篡改功能安全测试</w:t>
            </w:r>
          </w:p>
        </w:tc>
        <w:tc>
          <w:tcPr>
            <w:tcW w:type="dxa" w:w="1728"/>
          </w:tcPr>
          <w:p>
            <w:r>
              <w:rPr>
                <w:b/>
                <w:color w:val="E36C09"/>
              </w:rPr>
              <w:t>高</w:t>
            </w:r>
          </w:p>
        </w:tc>
        <w:tc>
          <w:tcPr>
            <w:tcW w:type="dxa" w:w="1728"/>
          </w:tcPr>
          <w:p>
            <w:r/>
          </w:p>
        </w:tc>
      </w:tr>
      <w:tr>
        <w:tc>
          <w:tcPr>
            <w:tcW w:type="dxa" w:w="1728"/>
          </w:tcPr>
          <w:p>
            <w:r>
              <w:t>6</w:t>
            </w:r>
          </w:p>
        </w:tc>
        <w:tc>
          <w:tcPr>
            <w:tcW w:type="dxa" w:w="1728"/>
          </w:tcPr>
          <w:p>
            <w:r>
              <w:t>3.5.1</w:t>
            </w:r>
          </w:p>
        </w:tc>
        <w:tc>
          <w:tcPr>
            <w:tcW w:type="dxa" w:w="1728"/>
          </w:tcPr>
          <w:p>
            <w:r>
              <w:t>验证码功能安全测试</w:t>
            </w:r>
          </w:p>
        </w:tc>
        <w:tc>
          <w:tcPr>
            <w:tcW w:type="dxa" w:w="1728"/>
          </w:tcPr>
          <w:p>
            <w:r>
              <w:rPr>
                <w:b/>
                <w:color w:val="E36C09"/>
              </w:rPr>
              <w:t>高</w:t>
            </w:r>
          </w:p>
        </w:tc>
        <w:tc>
          <w:tcPr>
            <w:tcW w:type="dxa" w:w="1728"/>
          </w:tcPr>
          <w:p>
            <w:r/>
          </w:p>
        </w:tc>
      </w:tr>
      <w:tr>
        <w:tc>
          <w:tcPr>
            <w:tcW w:type="dxa" w:w="1728"/>
          </w:tcPr>
          <w:p>
            <w:r>
              <w:t>7</w:t>
            </w:r>
          </w:p>
        </w:tc>
        <w:tc>
          <w:tcPr>
            <w:tcW w:type="dxa" w:w="1728"/>
          </w:tcPr>
          <w:p>
            <w:r>
              <w:t>3.5.3</w:t>
            </w:r>
          </w:p>
        </w:tc>
        <w:tc>
          <w:tcPr>
            <w:tcW w:type="dxa" w:w="1728"/>
          </w:tcPr>
          <w:p>
            <w:r>
              <w:t>双因素验证功能（短信或邮件等）安全测试</w:t>
            </w:r>
          </w:p>
        </w:tc>
        <w:tc>
          <w:tcPr>
            <w:tcW w:type="dxa" w:w="1728"/>
          </w:tcPr>
          <w:p>
            <w:r>
              <w:rPr>
                <w:b/>
                <w:color w:val="BF8F00"/>
              </w:rPr>
              <w:t>中</w:t>
            </w:r>
          </w:p>
        </w:tc>
        <w:tc>
          <w:tcPr>
            <w:tcW w:type="dxa" w:w="1728"/>
          </w:tcPr>
          <w:p>
            <w:r/>
          </w:p>
        </w:tc>
      </w:tr>
      <w:tr>
        <w:tc>
          <w:tcPr>
            <w:tcW w:type="dxa" w:w="1728"/>
          </w:tcPr>
          <w:p>
            <w:r>
              <w:t>8</w:t>
            </w:r>
          </w:p>
        </w:tc>
        <w:tc>
          <w:tcPr>
            <w:tcW w:type="dxa" w:w="1728"/>
          </w:tcPr>
          <w:p>
            <w:r>
              <w:t>3.5.6</w:t>
            </w:r>
          </w:p>
        </w:tc>
        <w:tc>
          <w:tcPr>
            <w:tcW w:type="dxa" w:w="1728"/>
          </w:tcPr>
          <w:p>
            <w:r>
              <w:t>账号多次失败登录锁定安全测试</w:t>
            </w:r>
          </w:p>
        </w:tc>
        <w:tc>
          <w:tcPr>
            <w:tcW w:type="dxa" w:w="1728"/>
          </w:tcPr>
          <w:p>
            <w:r>
              <w:rPr>
                <w:b/>
                <w:color w:val="E36C09"/>
              </w:rPr>
              <w:t>高</w:t>
            </w:r>
          </w:p>
        </w:tc>
        <w:tc>
          <w:tcPr>
            <w:tcW w:type="dxa" w:w="1728"/>
          </w:tcPr>
          <w:p>
            <w:r/>
          </w:p>
        </w:tc>
      </w:tr>
      <w:tr>
        <w:tc>
          <w:tcPr>
            <w:tcW w:type="dxa" w:w="1728"/>
          </w:tcPr>
          <w:p>
            <w:r>
              <w:t>9</w:t>
            </w:r>
          </w:p>
        </w:tc>
        <w:tc>
          <w:tcPr>
            <w:tcW w:type="dxa" w:w="1728"/>
          </w:tcPr>
          <w:p>
            <w:r>
              <w:t>3.5.8</w:t>
            </w:r>
          </w:p>
        </w:tc>
        <w:tc>
          <w:tcPr>
            <w:tcW w:type="dxa" w:w="1728"/>
          </w:tcPr>
          <w:p>
            <w:r>
              <w:t>强密码策略安全测试</w:t>
            </w:r>
          </w:p>
        </w:tc>
        <w:tc>
          <w:tcPr>
            <w:tcW w:type="dxa" w:w="1728"/>
          </w:tcPr>
          <w:p>
            <w:r>
              <w:rPr>
                <w:b/>
                <w:color w:val="E36C09"/>
              </w:rPr>
              <w:t>高</w:t>
            </w:r>
          </w:p>
        </w:tc>
        <w:tc>
          <w:tcPr>
            <w:tcW w:type="dxa" w:w="1728"/>
          </w:tcPr>
          <w:p>
            <w:r/>
          </w:p>
        </w:tc>
      </w:tr>
      <w:tr>
        <w:tc>
          <w:tcPr>
            <w:tcW w:type="dxa" w:w="1728"/>
          </w:tcPr>
          <w:p>
            <w:r>
              <w:t>10</w:t>
            </w:r>
          </w:p>
        </w:tc>
        <w:tc>
          <w:tcPr>
            <w:tcW w:type="dxa" w:w="1728"/>
          </w:tcPr>
          <w:p>
            <w:r>
              <w:t>3.5.10</w:t>
            </w:r>
          </w:p>
        </w:tc>
        <w:tc>
          <w:tcPr>
            <w:tcW w:type="dxa" w:w="1728"/>
          </w:tcPr>
          <w:p>
            <w:r>
              <w:t>用户标识、角色标识安全测试</w:t>
            </w:r>
          </w:p>
        </w:tc>
        <w:tc>
          <w:tcPr>
            <w:tcW w:type="dxa" w:w="1728"/>
          </w:tcPr>
          <w:p>
            <w:r>
              <w:rPr>
                <w:b/>
                <w:color w:val="E36C09"/>
              </w:rPr>
              <w:t>高</w:t>
            </w:r>
          </w:p>
        </w:tc>
        <w:tc>
          <w:tcPr>
            <w:tcW w:type="dxa" w:w="1728"/>
          </w:tcPr>
          <w:p>
            <w:r/>
          </w:p>
        </w:tc>
      </w:tr>
      <w:tr>
        <w:tc>
          <w:tcPr>
            <w:tcW w:type="dxa" w:w="1728"/>
          </w:tcPr>
          <w:p>
            <w:r>
              <w:t>11</w:t>
            </w:r>
          </w:p>
        </w:tc>
        <w:tc>
          <w:tcPr>
            <w:tcW w:type="dxa" w:w="1728"/>
          </w:tcPr>
          <w:p>
            <w:r>
              <w:t>3.7.1</w:t>
            </w:r>
          </w:p>
        </w:tc>
        <w:tc>
          <w:tcPr>
            <w:tcW w:type="dxa" w:w="1728"/>
          </w:tcPr>
          <w:p>
            <w:r>
              <w:t>Cookie安全测试</w:t>
            </w:r>
          </w:p>
        </w:tc>
        <w:tc>
          <w:tcPr>
            <w:tcW w:type="dxa" w:w="1728"/>
          </w:tcPr>
          <w:p>
            <w:r>
              <w:rPr>
                <w:b/>
                <w:color w:val="BF8F00"/>
              </w:rPr>
              <w:t>中</w:t>
            </w:r>
          </w:p>
        </w:tc>
        <w:tc>
          <w:tcPr>
            <w:tcW w:type="dxa" w:w="1728"/>
          </w:tcPr>
          <w:p>
            <w:r/>
          </w:p>
        </w:tc>
      </w:tr>
      <w:tr>
        <w:tc>
          <w:tcPr>
            <w:tcW w:type="dxa" w:w="1728"/>
          </w:tcPr>
          <w:p>
            <w:r>
              <w:t>12</w:t>
            </w:r>
          </w:p>
        </w:tc>
        <w:tc>
          <w:tcPr>
            <w:tcW w:type="dxa" w:w="1728"/>
          </w:tcPr>
          <w:p>
            <w:r>
              <w:t>3.7.3</w:t>
            </w:r>
          </w:p>
        </w:tc>
        <w:tc>
          <w:tcPr>
            <w:tcW w:type="dxa" w:w="1728"/>
          </w:tcPr>
          <w:p>
            <w:r>
              <w:t>会话登出功能安全测试</w:t>
            </w:r>
          </w:p>
        </w:tc>
        <w:tc>
          <w:tcPr>
            <w:tcW w:type="dxa" w:w="1728"/>
          </w:tcPr>
          <w:p>
            <w:r>
              <w:rPr>
                <w:b/>
                <w:color w:val="E36C09"/>
              </w:rPr>
              <w:t>高</w:t>
            </w:r>
          </w:p>
        </w:tc>
        <w:tc>
          <w:tcPr>
            <w:tcW w:type="dxa" w:w="1728"/>
          </w:tcPr>
          <w:p>
            <w:r/>
          </w:p>
        </w:tc>
      </w:tr>
      <w:tr>
        <w:tc>
          <w:tcPr>
            <w:tcW w:type="dxa" w:w="1728"/>
          </w:tcPr>
          <w:p>
            <w:r>
              <w:t>13</w:t>
            </w:r>
          </w:p>
        </w:tc>
        <w:tc>
          <w:tcPr>
            <w:tcW w:type="dxa" w:w="1728"/>
          </w:tcPr>
          <w:p>
            <w:r>
              <w:t>3.7.5</w:t>
            </w:r>
          </w:p>
        </w:tc>
        <w:tc>
          <w:tcPr>
            <w:tcW w:type="dxa" w:w="1728"/>
          </w:tcPr>
          <w:p>
            <w:r>
              <w:t>会话标识安全测试</w:t>
            </w:r>
          </w:p>
        </w:tc>
        <w:tc>
          <w:tcPr>
            <w:tcW w:type="dxa" w:w="1728"/>
          </w:tcPr>
          <w:p>
            <w:r>
              <w:rPr>
                <w:b/>
                <w:color w:val="BF8F00"/>
              </w:rPr>
              <w:t>中</w:t>
            </w:r>
          </w:p>
        </w:tc>
        <w:tc>
          <w:tcPr>
            <w:tcW w:type="dxa" w:w="1728"/>
          </w:tcPr>
          <w:p>
            <w:r/>
          </w:p>
        </w:tc>
      </w:tr>
      <w:tr>
        <w:tc>
          <w:tcPr>
            <w:tcW w:type="dxa" w:w="1728"/>
          </w:tcPr>
          <w:p>
            <w:r>
              <w:t>14</w:t>
            </w:r>
          </w:p>
        </w:tc>
        <w:tc>
          <w:tcPr>
            <w:tcW w:type="dxa" w:w="1728"/>
          </w:tcPr>
          <w:p>
            <w:r>
              <w:t>3.8.1</w:t>
            </w:r>
          </w:p>
        </w:tc>
        <w:tc>
          <w:tcPr>
            <w:tcW w:type="dxa" w:w="1728"/>
          </w:tcPr>
          <w:p>
            <w:r>
              <w:t>密钥存储安全测试</w:t>
            </w:r>
          </w:p>
        </w:tc>
        <w:tc>
          <w:tcPr>
            <w:tcW w:type="dxa" w:w="1728"/>
          </w:tcPr>
          <w:p>
            <w:r>
              <w:rPr>
                <w:b/>
                <w:color w:val="C00000"/>
              </w:rPr>
              <w:t>严重</w:t>
            </w:r>
          </w:p>
        </w:tc>
        <w:tc>
          <w:tcPr>
            <w:tcW w:type="dxa" w:w="1728"/>
          </w:tcPr>
          <w:p>
            <w:r/>
          </w:p>
        </w:tc>
      </w:tr>
      <w:tr>
        <w:tc>
          <w:tcPr>
            <w:tcW w:type="dxa" w:w="1728"/>
          </w:tcPr>
          <w:p>
            <w:r>
              <w:t>15</w:t>
            </w:r>
          </w:p>
        </w:tc>
        <w:tc>
          <w:tcPr>
            <w:tcW w:type="dxa" w:w="1728"/>
          </w:tcPr>
          <w:p>
            <w:r>
              <w:t>3.9.1</w:t>
            </w:r>
          </w:p>
        </w:tc>
        <w:tc>
          <w:tcPr>
            <w:tcW w:type="dxa" w:w="1728"/>
          </w:tcPr>
          <w:p>
            <w:r>
              <w:t>应用组件错误信息安全测试</w:t>
            </w:r>
          </w:p>
        </w:tc>
        <w:tc>
          <w:tcPr>
            <w:tcW w:type="dxa" w:w="1728"/>
          </w:tcPr>
          <w:p>
            <w:r>
              <w:rPr>
                <w:b/>
                <w:color w:val="BF8F00"/>
              </w:rPr>
              <w:t>中</w:t>
            </w:r>
          </w:p>
        </w:tc>
        <w:tc>
          <w:tcPr>
            <w:tcW w:type="dxa" w:w="1728"/>
          </w:tcPr>
          <w:p>
            <w:r/>
          </w:p>
        </w:tc>
      </w:tr>
      <w:tr>
        <w:tc>
          <w:tcPr>
            <w:tcW w:type="dxa" w:w="1728"/>
          </w:tcPr>
          <w:p>
            <w:r>
              <w:t>16</w:t>
            </w:r>
          </w:p>
        </w:tc>
        <w:tc>
          <w:tcPr>
            <w:tcW w:type="dxa" w:w="1728"/>
          </w:tcPr>
          <w:p>
            <w:r>
              <w:t>3.11.1</w:t>
            </w:r>
          </w:p>
        </w:tc>
        <w:tc>
          <w:tcPr>
            <w:tcW w:type="dxa" w:w="1728"/>
          </w:tcPr>
          <w:p>
            <w:r>
              <w:t>基础日志审计功能安全测试</w:t>
            </w:r>
          </w:p>
        </w:tc>
        <w:tc>
          <w:tcPr>
            <w:tcW w:type="dxa" w:w="1728"/>
          </w:tcPr>
          <w:p>
            <w:r>
              <w:rPr>
                <w:b/>
                <w:color w:val="BF8F00"/>
              </w:rPr>
              <w:t>中</w:t>
            </w:r>
          </w:p>
        </w:tc>
        <w:tc>
          <w:tcPr>
            <w:tcW w:type="dxa" w:w="1728"/>
          </w:tcPr>
          <w:p>
            <w:r/>
          </w:p>
        </w:tc>
      </w:tr>
      <w:tr>
        <w:tc>
          <w:tcPr>
            <w:tcW w:type="dxa" w:w="1728"/>
          </w:tcPr>
          <w:p>
            <w:r>
              <w:t>17</w:t>
            </w:r>
          </w:p>
        </w:tc>
        <w:tc>
          <w:tcPr>
            <w:tcW w:type="dxa" w:w="1728"/>
          </w:tcPr>
          <w:p>
            <w:r>
              <w:t>3.13.2</w:t>
            </w:r>
          </w:p>
        </w:tc>
        <w:tc>
          <w:tcPr>
            <w:tcW w:type="dxa" w:w="1728"/>
          </w:tcPr>
          <w:p>
            <w:r>
              <w:t>HTTP高危请求方法安全测试</w:t>
            </w:r>
          </w:p>
        </w:tc>
        <w:tc>
          <w:tcPr>
            <w:tcW w:type="dxa" w:w="1728"/>
          </w:tcPr>
          <w:p>
            <w:r>
              <w:rPr>
                <w:b/>
                <w:color w:val="BF8F00"/>
              </w:rPr>
              <w:t>中</w:t>
            </w:r>
          </w:p>
        </w:tc>
        <w:tc>
          <w:tcPr>
            <w:tcW w:type="dxa" w:w="1728"/>
          </w:tcPr>
          <w:p>
            <w:r/>
          </w:p>
        </w:tc>
      </w:tr>
      <w:tr>
        <w:tc>
          <w:tcPr>
            <w:tcW w:type="dxa" w:w="1728"/>
          </w:tcPr>
          <w:p>
            <w:r>
              <w:t>18</w:t>
            </w:r>
          </w:p>
        </w:tc>
        <w:tc>
          <w:tcPr>
            <w:tcW w:type="dxa" w:w="1728"/>
          </w:tcPr>
          <w:p>
            <w:r>
              <w:t>3.13.6</w:t>
            </w:r>
          </w:p>
        </w:tc>
        <w:tc>
          <w:tcPr>
            <w:tcW w:type="dxa" w:w="1728"/>
          </w:tcPr>
          <w:p>
            <w:r>
              <w:t>CSRF安全测试</w:t>
            </w:r>
          </w:p>
        </w:tc>
        <w:tc>
          <w:tcPr>
            <w:tcW w:type="dxa" w:w="1728"/>
          </w:tcPr>
          <w:p>
            <w:r>
              <w:rPr>
                <w:b/>
                <w:color w:val="E36C09"/>
              </w:rPr>
              <w:t>高</w:t>
            </w:r>
          </w:p>
        </w:tc>
        <w:tc>
          <w:tcPr>
            <w:tcW w:type="dxa" w:w="1728"/>
          </w:tcPr>
          <w:p>
            <w:r/>
          </w:p>
        </w:tc>
      </w:tr>
      <w:tr>
        <w:tc>
          <w:tcPr>
            <w:tcW w:type="dxa" w:w="1728"/>
          </w:tcPr>
          <w:p>
            <w:r>
              <w:t>19</w:t>
            </w:r>
          </w:p>
        </w:tc>
        <w:tc>
          <w:tcPr>
            <w:tcW w:type="dxa" w:w="1728"/>
          </w:tcPr>
          <w:p>
            <w:r>
              <w:t>3.13.12</w:t>
            </w:r>
          </w:p>
        </w:tc>
        <w:tc>
          <w:tcPr>
            <w:tcW w:type="dxa" w:w="1728"/>
          </w:tcPr>
          <w:p>
            <w:r>
              <w:t>远程命令执行安全测试</w:t>
            </w:r>
          </w:p>
        </w:tc>
        <w:tc>
          <w:tcPr>
            <w:tcW w:type="dxa" w:w="1728"/>
          </w:tcPr>
          <w:p>
            <w:r>
              <w:rPr>
                <w:b/>
                <w:color w:val="C00000"/>
              </w:rPr>
              <w:t>严重</w:t>
            </w:r>
          </w:p>
        </w:tc>
        <w:tc>
          <w:tcPr>
            <w:tcW w:type="dxa" w:w="1728"/>
          </w:tcPr>
          <w:p>
            <w:r/>
          </w:p>
        </w:tc>
      </w:tr>
      <w:tr>
        <w:tc>
          <w:tcPr>
            <w:tcW w:type="dxa" w:w="1728"/>
          </w:tcPr>
          <w:p>
            <w:r>
              <w:t>20</w:t>
            </w:r>
          </w:p>
        </w:tc>
        <w:tc>
          <w:tcPr>
            <w:tcW w:type="dxa" w:w="1728"/>
          </w:tcPr>
          <w:p>
            <w:r>
              <w:t>3.13.14</w:t>
            </w:r>
          </w:p>
        </w:tc>
        <w:tc>
          <w:tcPr>
            <w:tcW w:type="dxa" w:w="1728"/>
          </w:tcPr>
          <w:p>
            <w:r>
              <w:t>开发框架、中间件安全测试</w:t>
            </w:r>
          </w:p>
        </w:tc>
        <w:tc>
          <w:tcPr>
            <w:tcW w:type="dxa" w:w="1728"/>
          </w:tcPr>
          <w:p>
            <w:r>
              <w:rPr>
                <w:b/>
                <w:color w:val="C00000"/>
              </w:rPr>
              <w:t>严重</w:t>
            </w:r>
          </w:p>
        </w:tc>
        <w:tc>
          <w:tcPr>
            <w:tcW w:type="dxa" w:w="1728"/>
          </w:tcPr>
          <w:p>
            <w:r/>
          </w:p>
        </w:tc>
      </w:tr>
      <w:tr>
        <w:tc>
          <w:tcPr>
            <w:tcW w:type="dxa" w:w="1728"/>
          </w:tcPr>
          <w:p>
            <w:r>
              <w:t>21</w:t>
            </w:r>
          </w:p>
        </w:tc>
        <w:tc>
          <w:tcPr>
            <w:tcW w:type="dxa" w:w="1728"/>
          </w:tcPr>
          <w:p>
            <w:r>
              <w:t>3.13.16</w:t>
            </w:r>
          </w:p>
        </w:tc>
        <w:tc>
          <w:tcPr>
            <w:tcW w:type="dxa" w:w="1728"/>
          </w:tcPr>
          <w:p>
            <w:r>
              <w:t>敏感信息泄露安全测试</w:t>
            </w:r>
          </w:p>
        </w:tc>
        <w:tc>
          <w:tcPr>
            <w:tcW w:type="dxa" w:w="1728"/>
          </w:tcPr>
          <w:p>
            <w:r>
              <w:rPr>
                <w:b/>
                <w:color w:val="C00000"/>
              </w:rPr>
              <w:t>严重</w:t>
            </w:r>
          </w:p>
        </w:tc>
        <w:tc>
          <w:tcPr>
            <w:tcW w:type="dxa" w:w="1728"/>
          </w:tcPr>
          <w:p>
            <w:r/>
          </w:p>
        </w:tc>
      </w:tr>
    </w:tbl>
    <w:p>
      <w:r>
        <w:rPr>
          <w:i/>
        </w:rPr>
        <w:t>注：上表仅列出本次判定为“不符合”的 21 项风险；全部 59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PORT-001 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XXL-JOB 管理控制台(“任务调度中心-dev”)通过公网域名 https://mno-pp.dfcv.com.cn/toLogin 直接对外提供访问，管理端与业务端未观察到入口/端口隔离，未观察到管理端来源 IP 白名单限制。管理台一旦凭据泄露即可被任意来源访问。</w:t>
            </w:r>
          </w:p>
        </w:tc>
      </w:tr>
      <w:tr>
        <w:tc>
          <w:tcPr>
            <w:tcW w:type="dxa" w:w="1872"/>
            <w:shd w:val="clear" w:fill="F2F2F2"/>
          </w:tcPr>
          <w:p>
            <w:r>
              <w:rPr>
                <w:b/>
              </w:rPr>
              <w:t>修复建议</w:t>
            </w:r>
          </w:p>
        </w:tc>
        <w:tc>
          <w:tcPr>
            <w:tcW w:type="dxa" w:w="7488"/>
          </w:tcPr>
          <w:p>
            <w:r>
              <w:t>管理端限制内网/VPN 访问或配置来源 IP/IP 段白名单；业务端与管理端入口隔离。</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703320"/>
            <wp:docPr id="1" name="Picture 1"/>
            <wp:cNvGraphicFramePr>
              <a:graphicFrameLocks noChangeAspect="1"/>
            </wp:cNvGraphicFramePr>
            <a:graphic>
              <a:graphicData uri="http://schemas.openxmlformats.org/drawingml/2006/picture">
                <pic:pic>
                  <pic:nvPicPr>
                    <pic:cNvPr id="0" name="fig_login.png"/>
                    <pic:cNvPicPr/>
                  </pic:nvPicPr>
                  <pic:blipFill>
                    <a:blip r:embed="rId9"/>
                    <a:stretch>
                      <a:fillRect/>
                    </a:stretch>
                  </pic:blipFill>
                  <pic:spPr>
                    <a:xfrm>
                      <a:off x="0" y="0"/>
                      <a:ext cx="4937760" cy="3703320"/>
                    </a:xfrm>
                    <a:prstGeom prst="rect"/>
                  </pic:spPr>
                </pic:pic>
              </a:graphicData>
            </a:graphic>
          </wp:inline>
        </w:drawing>
      </w:r>
    </w:p>
    <w:p>
      <w:pPr>
        <w:jc w:val="center"/>
      </w:pPr>
      <w:r>
        <w:rPr>
          <w:i/>
          <w:sz w:val="18"/>
        </w:rPr>
        <w:t>图1：公网可直接访问的 XXL-JOB 登录入口</w:t>
      </w:r>
    </w:p>
    <w:p/>
    <w:p>
      <w:pPr>
        <w:pStyle w:val="Heading2"/>
      </w:pPr>
      <w:r>
        <w:t>基线安全</w:t>
      </w:r>
    </w:p>
    <w:p>
      <w:pPr>
        <w:pStyle w:val="Heading3"/>
      </w:pPr>
      <w:r>
        <w:t>BASIC-001 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未认证登录页 JS 暴露 admin_version:"2.3.0"，确认应用为 XXL-JOB 2.3.0（现行稳定版为 2.4.x 及以上）。该版本历史上存在与登录态 Cookie 身份信息、未授权访问相关的公开漏洞报告，存在升级必要。</w:t>
            </w:r>
          </w:p>
        </w:tc>
      </w:tr>
      <w:tr>
        <w:tc>
          <w:tcPr>
            <w:tcW w:type="dxa" w:w="1872"/>
            <w:shd w:val="clear" w:fill="F2F2F2"/>
          </w:tcPr>
          <w:p>
            <w:r>
              <w:rPr>
                <w:b/>
              </w:rPr>
              <w:t>修复建议</w:t>
            </w:r>
          </w:p>
        </w:tc>
        <w:tc>
          <w:tcPr>
            <w:tcW w:type="dxa" w:w="7488"/>
          </w:tcPr>
          <w:p>
            <w:r>
              <w:t>升级至官方最新稳定版本并持续跟踪安全公告。</w:t>
            </w:r>
          </w:p>
        </w:tc>
      </w:tr>
      <w:tr>
        <w:tc>
          <w:tcPr>
            <w:tcW w:type="dxa" w:w="1872"/>
            <w:shd w:val="clear" w:fill="F2F2F2"/>
          </w:tcPr>
          <w:p>
            <w:r>
              <w:rPr>
                <w:b/>
              </w:rPr>
              <w:t>备注</w:t>
            </w:r>
          </w:p>
        </w:tc>
        <w:tc>
          <w:tcPr>
            <w:tcW w:type="dxa" w:w="7488"/>
          </w:tcPr>
          <w:p>
            <w:r>
              <w:t>未对具体 CVE 做可利用性验证，结论基于版本老化判断。</w:t>
            </w:r>
          </w:p>
        </w:tc>
      </w:tr>
    </w:tbl>
    <w:p/>
    <w:p>
      <w:pPr>
        <w:pStyle w:val="Heading2"/>
      </w:pPr>
      <w:r>
        <w:t>前端安全</w:t>
      </w:r>
    </w:p>
    <w:p>
      <w:pPr>
        <w:pStyle w:val="Heading3"/>
      </w:pPr>
      <w:r>
        <w:t>FRON-001 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前端加载 jQuery v3.4.1（login.1.js 头部标注），该版本存在已知安全公告（如 CVE-2020-11022/11023，jQuery &lt;3.5 的 XSS）；页面基于 AdminLTE/Bootstrap 3.x（已 EOL）。</w:t>
            </w:r>
          </w:p>
        </w:tc>
      </w:tr>
      <w:tr>
        <w:tc>
          <w:tcPr>
            <w:tcW w:type="dxa" w:w="1872"/>
            <w:shd w:val="clear" w:fill="F2F2F2"/>
          </w:tcPr>
          <w:p>
            <w:r>
              <w:rPr>
                <w:b/>
              </w:rPr>
              <w:t>修复建议</w:t>
            </w:r>
          </w:p>
        </w:tc>
        <w:tc>
          <w:tcPr>
            <w:tcW w:type="dxa" w:w="7488"/>
          </w:tcPr>
          <w:p>
            <w:r>
              <w:t>升级 jQuery 至 3.5+、Bootstrap 至受支持版本。</w:t>
            </w:r>
          </w:p>
        </w:tc>
      </w:tr>
      <w:tr>
        <w:tc>
          <w:tcPr>
            <w:tcW w:type="dxa" w:w="1872"/>
            <w:shd w:val="clear" w:fill="F2F2F2"/>
          </w:tcPr>
          <w:p>
            <w:r>
              <w:rPr>
                <w:b/>
              </w:rPr>
              <w:t>备注</w:t>
            </w:r>
          </w:p>
        </w:tc>
        <w:tc>
          <w:tcPr>
            <w:tcW w:type="dxa" w:w="7488"/>
          </w:tcPr>
          <w:p>
            <w:r/>
          </w:p>
        </w:tc>
      </w:tr>
    </w:tbl>
    <w:p/>
    <w:p>
      <w:pPr>
        <w:pStyle w:val="Heading3"/>
      </w:pPr>
      <w:r>
        <w:t>FRON-002 前端泄露风险测试（如JS）</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前端泄露风险测试（如JS）</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前端JS文件应不包含敏感信息，如内网接口、密钥、个人敏感信息、应用敏感信息等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审阅未认证即可获取的前端脚本（login.1.js、common.1.js、toLogin.html），未发现硬编码口令、密钥、AK/SK 或个人敏感信息；前端暴露的仅为应用版本号（该问题归入 TRAN-001）。</w:t>
            </w:r>
          </w:p>
        </w:tc>
      </w:tr>
      <w:tr>
        <w:tc>
          <w:tcPr>
            <w:tcW w:type="dxa" w:w="1872"/>
            <w:shd w:val="clear" w:fill="F2F2F2"/>
          </w:tcPr>
          <w:p>
            <w:r>
              <w:rPr>
                <w:b/>
              </w:rPr>
              <w:t>修复建议</w:t>
            </w:r>
          </w:p>
        </w:tc>
        <w:tc>
          <w:tcPr>
            <w:tcW w:type="dxa" w:w="7488"/>
          </w:tcPr>
          <w:p>
            <w:r>
              <w:t>保持前端不含敏感信息；应用版本号建议移除（见 TRAN-001）。</w:t>
            </w:r>
          </w:p>
        </w:tc>
      </w:tr>
      <w:tr>
        <w:tc>
          <w:tcPr>
            <w:tcW w:type="dxa" w:w="1872"/>
            <w:shd w:val="clear" w:fill="F2F2F2"/>
          </w:tcPr>
          <w:p>
            <w:r>
              <w:rPr>
                <w:b/>
              </w:rPr>
              <w:t>备注</w:t>
            </w:r>
          </w:p>
        </w:tc>
        <w:tc>
          <w:tcPr>
            <w:tcW w:type="dxa" w:w="7488"/>
          </w:tcPr>
          <w:p>
            <w:r/>
          </w:p>
        </w:tc>
      </w:tr>
    </w:tbl>
    <w:p/>
    <w:p>
      <w:pPr>
        <w:pStyle w:val="Heading2"/>
      </w:pPr>
      <w:r>
        <w:t>传输安全</w:t>
      </w:r>
    </w:p>
    <w:p>
      <w:pPr>
        <w:pStyle w:val="Heading3"/>
      </w:pPr>
      <w:r>
        <w:t>TRAN-001 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未认证登录页 /toLogin 的 JavaScript 中明文包含 admin_version:"2.3.0"，任何访问者无需登录即可获知应用版本，便于攻击者匹配已知漏洞。HTTP Server 头仅为 “elb” 未泄露中间件版本，但应用版本经前端泄露。</w:t>
            </w:r>
          </w:p>
        </w:tc>
      </w:tr>
      <w:tr>
        <w:tc>
          <w:tcPr>
            <w:tcW w:type="dxa" w:w="1872"/>
            <w:shd w:val="clear" w:fill="F2F2F2"/>
          </w:tcPr>
          <w:p>
            <w:r>
              <w:rPr>
                <w:b/>
              </w:rPr>
              <w:t>修复建议</w:t>
            </w:r>
          </w:p>
        </w:tc>
        <w:tc>
          <w:tcPr>
            <w:tcW w:type="dxa" w:w="7488"/>
          </w:tcPr>
          <w:p>
            <w:r>
              <w:t>移除前端版本字段；服务端隐藏版本响应头。</w:t>
            </w:r>
          </w:p>
        </w:tc>
      </w:tr>
      <w:tr>
        <w:tc>
          <w:tcPr>
            <w:tcW w:type="dxa" w:w="1872"/>
            <w:shd w:val="clear" w:fill="F2F2F2"/>
          </w:tcPr>
          <w:p>
            <w:r>
              <w:rPr>
                <w:b/>
              </w:rPr>
              <w:t>备注</w:t>
            </w:r>
          </w:p>
        </w:tc>
        <w:tc>
          <w:tcPr>
            <w:tcW w:type="dxa" w:w="7488"/>
          </w:tcPr>
          <w:p>
            <w:r/>
          </w:p>
        </w:tc>
      </w:tr>
    </w:tbl>
    <w:p/>
    <w:p>
      <w:pPr>
        <w:pStyle w:val="Heading3"/>
      </w:pPr>
      <w:r>
        <w:t>TRAN-002 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登录及各 AJAX 接口请求中未观察到防重放机制（无一次性 nonce、时间戳签名或请求签名），同一请求可被重复构造提交。</w:t>
            </w:r>
          </w:p>
        </w:tc>
      </w:tr>
      <w:tr>
        <w:tc>
          <w:tcPr>
            <w:tcW w:type="dxa" w:w="1872"/>
            <w:shd w:val="clear" w:fill="F2F2F2"/>
          </w:tcPr>
          <w:p>
            <w:r>
              <w:rPr>
                <w:b/>
              </w:rPr>
              <w:t>修复建议</w:t>
            </w:r>
          </w:p>
        </w:tc>
        <w:tc>
          <w:tcPr>
            <w:tcW w:type="dxa" w:w="7488"/>
          </w:tcPr>
          <w:p>
            <w:r>
              <w:t>关键接口引入时间戳+nonce+签名或一次性 token 机制。</w:t>
            </w:r>
          </w:p>
        </w:tc>
      </w:tr>
      <w:tr>
        <w:tc>
          <w:tcPr>
            <w:tcW w:type="dxa" w:w="1872"/>
            <w:shd w:val="clear" w:fill="F2F2F2"/>
          </w:tcPr>
          <w:p>
            <w:r>
              <w:rPr>
                <w:b/>
              </w:rPr>
              <w:t>备注</w:t>
            </w:r>
          </w:p>
        </w:tc>
        <w:tc>
          <w:tcPr>
            <w:tcW w:type="dxa" w:w="7488"/>
          </w:tcPr>
          <w:p>
            <w:r>
              <w:t>为观察性结论，未执行破坏性重放攻击验证。</w:t>
            </w:r>
          </w:p>
        </w:tc>
      </w:tr>
    </w:tbl>
    <w:p/>
    <w:p>
      <w:pPr>
        <w:pStyle w:val="Heading2"/>
      </w:pPr>
      <w:r>
        <w:t>身份鉴别</w:t>
      </w:r>
    </w:p>
    <w:p>
      <w:pPr>
        <w:pStyle w:val="Heading3"/>
      </w:pPr>
      <w:r>
        <w:t>AUTH-001 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登录页仅“账号+密码”两项，无图形验证码/滑块/短信等人机验证，连续提交无弹性验证码，登录接口易被自动化脚本调用。</w:t>
            </w:r>
          </w:p>
        </w:tc>
      </w:tr>
      <w:tr>
        <w:tc>
          <w:tcPr>
            <w:tcW w:type="dxa" w:w="1872"/>
            <w:shd w:val="clear" w:fill="F2F2F2"/>
          </w:tcPr>
          <w:p>
            <w:r>
              <w:rPr>
                <w:b/>
              </w:rPr>
              <w:t>修复建议</w:t>
            </w:r>
          </w:p>
        </w:tc>
        <w:tc>
          <w:tcPr>
            <w:tcW w:type="dxa" w:w="7488"/>
          </w:tcPr>
          <w:p>
            <w:r>
              <w:t>登录引入验证码；失败达阈值后强制验证码。</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703320"/>
            <wp:docPr id="2" name="Picture 2"/>
            <wp:cNvGraphicFramePr>
              <a:graphicFrameLocks noChangeAspect="1"/>
            </wp:cNvGraphicFramePr>
            <a:graphic>
              <a:graphicData uri="http://schemas.openxmlformats.org/drawingml/2006/picture">
                <pic:pic>
                  <pic:nvPicPr>
                    <pic:cNvPr id="0" name="fig_login.png"/>
                    <pic:cNvPicPr/>
                  </pic:nvPicPr>
                  <pic:blipFill>
                    <a:blip r:embed="rId9"/>
                    <a:stretch>
                      <a:fillRect/>
                    </a:stretch>
                  </pic:blipFill>
                  <pic:spPr>
                    <a:xfrm>
                      <a:off x="0" y="0"/>
                      <a:ext cx="4937760" cy="3703320"/>
                    </a:xfrm>
                    <a:prstGeom prst="rect"/>
                  </pic:spPr>
                </pic:pic>
              </a:graphicData>
            </a:graphic>
          </wp:inline>
        </w:drawing>
      </w:r>
    </w:p>
    <w:p>
      <w:pPr>
        <w:jc w:val="center"/>
      </w:pPr>
      <w:r>
        <w:rPr>
          <w:i/>
          <w:sz w:val="18"/>
        </w:rPr>
        <w:t>图2：登录页无任何验证码机制</w:t>
      </w:r>
    </w:p>
    <w:p/>
    <w:p>
      <w:pPr>
        <w:pStyle w:val="Heading3"/>
      </w:pPr>
      <w:r>
        <w:t>AUTH-002 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系统无自助注册入口、无密码找回入口，账号由管理员在后台创建；系统存在“修改密码”功能但本次未对其做专项测试。综合判定当前不涉及注册/找回攻击面。</w:t>
            </w:r>
          </w:p>
        </w:tc>
      </w:tr>
      <w:tr>
        <w:tc>
          <w:tcPr>
            <w:tcW w:type="dxa" w:w="1872"/>
            <w:shd w:val="clear" w:fill="F2F2F2"/>
          </w:tcPr>
          <w:p>
            <w:r>
              <w:rPr>
                <w:b/>
              </w:rPr>
              <w:t>修复建议</w:t>
            </w:r>
          </w:p>
        </w:tc>
        <w:tc>
          <w:tcPr>
            <w:tcW w:type="dxa" w:w="7488"/>
          </w:tcPr>
          <w:p>
            <w:r>
              <w:t>若后续开放注册/找回功能，需评估其验证码、频率限制与凭据校验安全性。</w:t>
            </w:r>
          </w:p>
        </w:tc>
      </w:tr>
      <w:tr>
        <w:tc>
          <w:tcPr>
            <w:tcW w:type="dxa" w:w="1872"/>
            <w:shd w:val="clear" w:fill="F2F2F2"/>
          </w:tcPr>
          <w:p>
            <w:r>
              <w:rPr>
                <w:b/>
              </w:rPr>
              <w:t>备注</w:t>
            </w:r>
          </w:p>
        </w:tc>
        <w:tc>
          <w:tcPr>
            <w:tcW w:type="dxa" w:w="7488"/>
          </w:tcPr>
          <w:p>
            <w:r/>
          </w:p>
        </w:tc>
      </w:tr>
    </w:tbl>
    <w:p/>
    <w:p>
      <w:pPr>
        <w:pStyle w:val="Heading3"/>
      </w:pPr>
      <w:r>
        <w:t>AUTH-003 双因素验证功能（短信或邮件等）安全测试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双因素验证功能（短信或邮件等）安全测试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1、业务系统应接入IAM，并开启双因素验证（面向C端由安全主任审核通过可例外）</w:t>
              <w:br/>
              <w:t>2、每个账号只允许每隔60s发送一次短信、邮件验证信息</w:t>
              <w:br/>
              <w:t>3、每个账号发送短信、邮件验证信息在120s有效</w:t>
              <w:br/>
              <w:t>4、每个账号发送短信、邮件验证码要求不小于6位，其中邮件通过链接验证，需在链接中添加临时token进行验证，临时token有效期在30min内</w:t>
              <w:br/>
              <w:t>5、每个账号每日发送短信、邮件验证信息最多不超过10次</w:t>
              <w:br/>
              <w:t>6、短信、邮件验证码一次性有效（即使用完后失效）</w:t>
              <w:br/>
              <w:t>7、短信、邮件验证码应后台发送，不能直接通过响应包直接返回用户</w:t>
            </w:r>
          </w:p>
        </w:tc>
      </w:tr>
      <w:tr>
        <w:tc>
          <w:tcPr>
            <w:tcW w:type="dxa" w:w="1872"/>
            <w:shd w:val="clear" w:fill="F2F2F2"/>
          </w:tcPr>
          <w:p>
            <w:r>
              <w:rPr>
                <w:b/>
              </w:rPr>
              <w:t>风险影响</w:t>
            </w:r>
          </w:p>
        </w:tc>
        <w:tc>
          <w:tcPr>
            <w:tcW w:type="dxa" w:w="7488"/>
          </w:tcPr>
          <w:p>
            <w:r>
              <w:t>短信及邮件模块安全机制不完善可能存在短信轰炸、资源枯竭、验证码预测与复用的攻击风险，攻击者通过不断重放短信及邮件发生请求，进行短信及邮件炸弹攻击，消耗服务器资源，影响用户体验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b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登录仅单因素（账号口令），管理台未提供双因素/多因素认证（2FA/MFA）选项。</w:t>
            </w:r>
          </w:p>
        </w:tc>
      </w:tr>
      <w:tr>
        <w:tc>
          <w:tcPr>
            <w:tcW w:type="dxa" w:w="1872"/>
            <w:shd w:val="clear" w:fill="F2F2F2"/>
          </w:tcPr>
          <w:p>
            <w:r>
              <w:rPr>
                <w:b/>
              </w:rPr>
              <w:t>修复建议</w:t>
            </w:r>
          </w:p>
        </w:tc>
        <w:tc>
          <w:tcPr>
            <w:tcW w:type="dxa" w:w="7488"/>
          </w:tcPr>
          <w:p>
            <w:r>
              <w:t>管理台启用双因素认证（TOTP/短信等）。</w:t>
            </w:r>
          </w:p>
        </w:tc>
      </w:tr>
      <w:tr>
        <w:tc>
          <w:tcPr>
            <w:tcW w:type="dxa" w:w="1872"/>
            <w:shd w:val="clear" w:fill="F2F2F2"/>
          </w:tcPr>
          <w:p>
            <w:r>
              <w:rPr>
                <w:b/>
              </w:rPr>
              <w:t>备注</w:t>
            </w:r>
          </w:p>
        </w:tc>
        <w:tc>
          <w:tcPr>
            <w:tcW w:type="dxa" w:w="7488"/>
          </w:tcPr>
          <w:p>
            <w:r/>
          </w:p>
        </w:tc>
      </w:tr>
    </w:tbl>
    <w:p/>
    <w:p>
      <w:pPr>
        <w:pStyle w:val="Heading3"/>
      </w:pPr>
      <w:r>
        <w:t>AUTH-004 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系统仅存在既有 admin 账号且已在使用，在不改动业务数据的前提下无法验证“新建账号首次登录是否强制改密”。</w:t>
            </w:r>
          </w:p>
        </w:tc>
      </w:tr>
      <w:tr>
        <w:tc>
          <w:tcPr>
            <w:tcW w:type="dxa" w:w="1872"/>
            <w:shd w:val="clear" w:fill="F2F2F2"/>
          </w:tcPr>
          <w:p>
            <w:r>
              <w:rPr>
                <w:b/>
              </w:rPr>
              <w:t>修复建议</w:t>
            </w:r>
          </w:p>
        </w:tc>
        <w:tc>
          <w:tcPr>
            <w:tcW w:type="dxa" w:w="7488"/>
          </w:tcPr>
          <w:p>
            <w:r>
              <w:t>建议新建账号首次登录强制修改初始密码。</w:t>
            </w:r>
          </w:p>
        </w:tc>
      </w:tr>
      <w:tr>
        <w:tc>
          <w:tcPr>
            <w:tcW w:type="dxa" w:w="1872"/>
            <w:shd w:val="clear" w:fill="F2F2F2"/>
          </w:tcPr>
          <w:p>
            <w:r>
              <w:rPr>
                <w:b/>
              </w:rPr>
              <w:t>备注</w:t>
            </w:r>
          </w:p>
        </w:tc>
        <w:tc>
          <w:tcPr>
            <w:tcW w:type="dxa" w:w="7488"/>
          </w:tcPr>
          <w:p>
            <w:r/>
          </w:p>
        </w:tc>
      </w:tr>
    </w:tbl>
    <w:p/>
    <w:p>
      <w:pPr>
        <w:pStyle w:val="Heading3"/>
      </w:pPr>
      <w:r>
        <w:t>AUTH-005 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输入错误账号与错误密码均返回统一提示 {"code":500,"msg":"账号或密码错误"}，未区分“账号不存在/密码错误”，无法用于账号枚举。</w:t>
            </w:r>
          </w:p>
        </w:tc>
      </w:tr>
      <w:tr>
        <w:tc>
          <w:tcPr>
            <w:tcW w:type="dxa" w:w="1872"/>
            <w:shd w:val="clear" w:fill="F2F2F2"/>
          </w:tcPr>
          <w:p>
            <w:r>
              <w:rPr>
                <w:b/>
              </w:rPr>
              <w:t>修复建议</w:t>
            </w:r>
          </w:p>
        </w:tc>
        <w:tc>
          <w:tcPr>
            <w:tcW w:type="dxa" w:w="7488"/>
          </w:tcPr>
          <w:p>
            <w:r>
              <w:t>维持统一失败提示。</w:t>
            </w:r>
          </w:p>
        </w:tc>
      </w:tr>
      <w:tr>
        <w:tc>
          <w:tcPr>
            <w:tcW w:type="dxa" w:w="1872"/>
            <w:shd w:val="clear" w:fill="F2F2F2"/>
          </w:tcPr>
          <w:p>
            <w:r>
              <w:rPr>
                <w:b/>
              </w:rPr>
              <w:t>备注</w:t>
            </w:r>
          </w:p>
        </w:tc>
        <w:tc>
          <w:tcPr>
            <w:tcW w:type="dxa" w:w="7488"/>
          </w:tcPr>
          <w:p>
            <w:r/>
          </w:p>
        </w:tc>
      </w:tr>
    </w:tbl>
    <w:p/>
    <w:p>
      <w:pPr>
        <w:pStyle w:val="Heading3"/>
      </w:pPr>
      <w:r>
        <w:t>AUTH-006 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连续 5 次错误密码提交，账号未被锁定、未触发验证码或延迟，未观察到失败锁定机制。</w:t>
            </w:r>
          </w:p>
        </w:tc>
      </w:tr>
      <w:tr>
        <w:tc>
          <w:tcPr>
            <w:tcW w:type="dxa" w:w="1872"/>
            <w:shd w:val="clear" w:fill="F2F2F2"/>
          </w:tcPr>
          <w:p>
            <w:r>
              <w:rPr>
                <w:b/>
              </w:rPr>
              <w:t>修复建议</w:t>
            </w:r>
          </w:p>
        </w:tc>
        <w:tc>
          <w:tcPr>
            <w:tcW w:type="dxa" w:w="7488"/>
          </w:tcPr>
          <w:p>
            <w:r>
              <w:t>增加登录失败计数锁定/指数退避策略。</w:t>
            </w:r>
          </w:p>
        </w:tc>
      </w:tr>
      <w:tr>
        <w:tc>
          <w:tcPr>
            <w:tcW w:type="dxa" w:w="1872"/>
            <w:shd w:val="clear" w:fill="F2F2F2"/>
          </w:tcPr>
          <w:p>
            <w:r>
              <w:rPr>
                <w:b/>
              </w:rPr>
              <w:t>备注</w:t>
            </w:r>
          </w:p>
        </w:tc>
        <w:tc>
          <w:tcPr>
            <w:tcW w:type="dxa" w:w="7488"/>
          </w:tcPr>
          <w:p>
            <w:r>
              <w:t>仅验证至 5 次；不排除更高阈值存在锁定，但低阈值锁定确实缺失。</w:t>
            </w:r>
          </w:p>
        </w:tc>
      </w:tr>
    </w:tbl>
    <w:p/>
    <w:p>
      <w:pPr>
        <w:pStyle w:val="Heading3"/>
      </w:pPr>
      <w:r>
        <w:t>AUTH-007 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登录密码输入框 type=password，输入内容不以明文回显。</w:t>
            </w:r>
          </w:p>
        </w:tc>
      </w:tr>
      <w:tr>
        <w:tc>
          <w:tcPr>
            <w:tcW w:type="dxa" w:w="1872"/>
            <w:shd w:val="clear" w:fill="F2F2F2"/>
          </w:tcPr>
          <w:p>
            <w:r>
              <w:rPr>
                <w:b/>
              </w:rPr>
              <w:t>修复建议</w:t>
            </w:r>
          </w:p>
        </w:tc>
        <w:tc>
          <w:tcPr>
            <w:tcW w:type="dxa" w:w="7488"/>
          </w:tcPr>
          <w:p>
            <w:r>
              <w:t>维持密码输入不明文展示。</w:t>
            </w:r>
          </w:p>
        </w:tc>
      </w:tr>
      <w:tr>
        <w:tc>
          <w:tcPr>
            <w:tcW w:type="dxa" w:w="1872"/>
            <w:shd w:val="clear" w:fill="F2F2F2"/>
          </w:tcPr>
          <w:p>
            <w:r>
              <w:rPr>
                <w:b/>
              </w:rPr>
              <w:t>备注</w:t>
            </w:r>
          </w:p>
        </w:tc>
        <w:tc>
          <w:tcPr>
            <w:tcW w:type="dxa" w:w="7488"/>
          </w:tcPr>
          <w:p>
            <w:r/>
          </w:p>
        </w:tc>
      </w:tr>
    </w:tbl>
    <w:p/>
    <w:p>
      <w:pPr>
        <w:pStyle w:val="Heading3"/>
      </w:pPr>
      <w:r>
        <w:t>AUTH-008 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前端密码控件仅要求 minlength=4，未发现服务端强制复杂度策略，系统允许设置 4 位弱口令；当前 admin 口令虽满足复杂度，但非系统强制。</w:t>
            </w:r>
          </w:p>
        </w:tc>
      </w:tr>
      <w:tr>
        <w:tc>
          <w:tcPr>
            <w:tcW w:type="dxa" w:w="1872"/>
            <w:shd w:val="clear" w:fill="F2F2F2"/>
          </w:tcPr>
          <w:p>
            <w:r>
              <w:rPr>
                <w:b/>
              </w:rPr>
              <w:t>修复建议</w:t>
            </w:r>
          </w:p>
        </w:tc>
        <w:tc>
          <w:tcPr>
            <w:tcW w:type="dxa" w:w="7488"/>
          </w:tcPr>
          <w:p>
            <w:r>
              <w:t>服务端强制口令长度≥8 且包含多种字符类型。</w:t>
            </w:r>
          </w:p>
        </w:tc>
      </w:tr>
      <w:tr>
        <w:tc>
          <w:tcPr>
            <w:tcW w:type="dxa" w:w="1872"/>
            <w:shd w:val="clear" w:fill="F2F2F2"/>
          </w:tcPr>
          <w:p>
            <w:r>
              <w:rPr>
                <w:b/>
              </w:rPr>
              <w:t>备注</w:t>
            </w:r>
          </w:p>
        </w:tc>
        <w:tc>
          <w:tcPr>
            <w:tcW w:type="dxa" w:w="7488"/>
          </w:tcPr>
          <w:p>
            <w:r/>
          </w:p>
        </w:tc>
      </w:tr>
    </w:tbl>
    <w:p/>
    <w:p>
      <w:pPr>
        <w:pStyle w:val="Heading3"/>
      </w:pPr>
      <w:r>
        <w:t>AUTH-009 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黑盒条件下无法验证“长期不登录账号是否自动锁定/禁用”（需时间维度与后台策略配合）。</w:t>
            </w:r>
          </w:p>
        </w:tc>
      </w:tr>
      <w:tr>
        <w:tc>
          <w:tcPr>
            <w:tcW w:type="dxa" w:w="1872"/>
            <w:shd w:val="clear" w:fill="F2F2F2"/>
          </w:tcPr>
          <w:p>
            <w:r>
              <w:rPr>
                <w:b/>
              </w:rPr>
              <w:t>修复建议</w:t>
            </w:r>
          </w:p>
        </w:tc>
        <w:tc>
          <w:tcPr>
            <w:tcW w:type="dxa" w:w="7488"/>
          </w:tcPr>
          <w:p>
            <w:r>
              <w:t>建议长期不活跃账号自动禁用。</w:t>
            </w:r>
          </w:p>
        </w:tc>
      </w:tr>
      <w:tr>
        <w:tc>
          <w:tcPr>
            <w:tcW w:type="dxa" w:w="1872"/>
            <w:shd w:val="clear" w:fill="F2F2F2"/>
          </w:tcPr>
          <w:p>
            <w:r>
              <w:rPr>
                <w:b/>
              </w:rPr>
              <w:t>备注</w:t>
            </w:r>
          </w:p>
        </w:tc>
        <w:tc>
          <w:tcPr>
            <w:tcW w:type="dxa" w:w="7488"/>
          </w:tcPr>
          <w:p>
            <w:r/>
          </w:p>
        </w:tc>
      </w:tr>
    </w:tbl>
    <w:p/>
    <w:p>
      <w:pPr>
        <w:pStyle w:val="Heading3"/>
      </w:pPr>
      <w:r>
        <w:t>AUTH-010 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用户标识为自增 id（admin id=1），角色标识 role 以明文形式存放于客户端 Cookie（XXL_JOB_LOGIN_IDENTITY 十六进制解码后含 id/username/role），身份与角色未与服务端会话强绑定。</w:t>
            </w:r>
          </w:p>
        </w:tc>
      </w:tr>
      <w:tr>
        <w:tc>
          <w:tcPr>
            <w:tcW w:type="dxa" w:w="1872"/>
            <w:shd w:val="clear" w:fill="F2F2F2"/>
          </w:tcPr>
          <w:p>
            <w:r>
              <w:rPr>
                <w:b/>
              </w:rPr>
              <w:t>修复建议</w:t>
            </w:r>
          </w:p>
        </w:tc>
        <w:tc>
          <w:tcPr>
            <w:tcW w:type="dxa" w:w="7488"/>
          </w:tcPr>
          <w:p>
            <w:r>
              <w:t>身份/角色标识绑定服务端会话，切勿在客户端存储可决定权限的字段。</w:t>
            </w:r>
          </w:p>
        </w:tc>
      </w:tr>
      <w:tr>
        <w:tc>
          <w:tcPr>
            <w:tcW w:type="dxa" w:w="1872"/>
            <w:shd w:val="clear" w:fill="F2F2F2"/>
          </w:tcPr>
          <w:p>
            <w:r>
              <w:rPr>
                <w:b/>
              </w:rPr>
              <w:t>备注</w:t>
            </w:r>
          </w:p>
        </w:tc>
        <w:tc>
          <w:tcPr>
            <w:tcW w:type="dxa" w:w="7488"/>
          </w:tcPr>
          <w:p>
            <w:r>
              <w:t>未执行 Cookie 篡改越权验证，故不主张“可伪造”。</w:t>
            </w:r>
          </w:p>
        </w:tc>
      </w:tr>
    </w:tbl>
    <w:p/>
    <w:p>
      <w:pPr>
        <w:pStyle w:val="Heading2"/>
      </w:pPr>
      <w:r>
        <w:t>权限管理</w:t>
      </w:r>
    </w:p>
    <w:p>
      <w:pPr>
        <w:pStyle w:val="Heading3"/>
      </w:pPr>
      <w:r>
        <w:t>PER-001 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系统仅存在 1 个管理员账号（user/pageList 记录总数=1），无低权限角色可供对照，权限控制有效性在不新建账号前提下无法验证。</w:t>
            </w:r>
          </w:p>
        </w:tc>
      </w:tr>
      <w:tr>
        <w:tc>
          <w:tcPr>
            <w:tcW w:type="dxa" w:w="1872"/>
            <w:shd w:val="clear" w:fill="F2F2F2"/>
          </w:tcPr>
          <w:p>
            <w:r>
              <w:rPr>
                <w:b/>
              </w:rPr>
              <w:t>修复建议</w:t>
            </w:r>
          </w:p>
        </w:tc>
        <w:tc>
          <w:tcPr>
            <w:tcW w:type="dxa" w:w="7488"/>
          </w:tcPr>
          <w:p>
            <w:r>
              <w:t>按最小权限原则划分角色，具备多角色后复测。</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703320"/>
            <wp:docPr id="3" name="Picture 3"/>
            <wp:cNvGraphicFramePr>
              <a:graphicFrameLocks noChangeAspect="1"/>
            </wp:cNvGraphicFramePr>
            <a:graphic>
              <a:graphicData uri="http://schemas.openxmlformats.org/drawingml/2006/picture">
                <pic:pic>
                  <pic:nvPicPr>
                    <pic:cNvPr id="0" name="fig_user.png"/>
                    <pic:cNvPicPr/>
                  </pic:nvPicPr>
                  <pic:blipFill>
                    <a:blip r:embed="rId10"/>
                    <a:stretch>
                      <a:fillRect/>
                    </a:stretch>
                  </pic:blipFill>
                  <pic:spPr>
                    <a:xfrm>
                      <a:off x="0" y="0"/>
                      <a:ext cx="4937760" cy="3703320"/>
                    </a:xfrm>
                    <a:prstGeom prst="rect"/>
                  </pic:spPr>
                </pic:pic>
              </a:graphicData>
            </a:graphic>
          </wp:inline>
        </w:drawing>
      </w:r>
    </w:p>
    <w:p>
      <w:pPr>
        <w:jc w:val="center"/>
      </w:pPr>
      <w:r>
        <w:rPr>
          <w:i/>
          <w:sz w:val="18"/>
        </w:rPr>
        <w:t>图3：用户管理仅 1 个 admin（管理员）账号</w:t>
      </w:r>
    </w:p>
    <w:p/>
    <w:p>
      <w:pPr>
        <w:pStyle w:val="Heading3"/>
      </w:pPr>
      <w:r>
        <w:t>PER-002 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1. 系统需实现基于角色的访问控制（RBAC）机制，严格划分不同角色（如管理员、普通用户、访客等）的操作权限边界，确保角色权限分配符合最小权限原则；2. 验证不同角色间的权限隔离有效性，普通用户无法执行管理员级操作（如用户管理、权限配置、系统参数修改、数据批量删除/导出等），低权限角色无法执行高权限角色专属操作；3. 未授权场景验证：未登录用户无法访问系统需授权的功能模块（如后台管理页面、用户个人中心、核心业务操作界面等），无法通过直接输入URL、篡改请求参数等方式绕过登录验证获取授权资源；4. 验证权限继承合理性，不存在角色权限越级继承、冗余授权等情况，临时授权需有明确时效且可追溯；5. 当用户尝试执行超出自身角色权限的操作时，系统需及时拦截并返回明确的权限不足提示，同时记录操作日志（含操作人、操作时间、操作内容、拦截结果）。</w:t>
            </w:r>
          </w:p>
        </w:tc>
      </w:tr>
      <w:tr>
        <w:tc>
          <w:tcPr>
            <w:tcW w:type="dxa" w:w="1872"/>
            <w:shd w:val="clear" w:fill="F2F2F2"/>
          </w:tcPr>
          <w:p>
            <w:r>
              <w:rPr>
                <w:b/>
              </w:rPr>
              <w:t>风险影响</w:t>
            </w:r>
          </w:p>
        </w:tc>
        <w:tc>
          <w:tcPr>
            <w:tcW w:type="dxa" w:w="7488"/>
          </w:tcPr>
          <w:p>
            <w:r>
              <w:t>未管控将导致低权限用户/未授权人员获取高权限操作权限，篡改系统配置、窃取敏感数据、删除核心业务数据，破坏系统完整性、保密性，引发业务中断或数据泄露风险</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仅 admin 一个账号、无普通用户，横向/纵向越权无从对照，未测试。</w:t>
            </w:r>
          </w:p>
        </w:tc>
      </w:tr>
      <w:tr>
        <w:tc>
          <w:tcPr>
            <w:tcW w:type="dxa" w:w="1872"/>
            <w:shd w:val="clear" w:fill="F2F2F2"/>
          </w:tcPr>
          <w:p>
            <w:r>
              <w:rPr>
                <w:b/>
              </w:rPr>
              <w:t>修复建议</w:t>
            </w:r>
          </w:p>
        </w:tc>
        <w:tc>
          <w:tcPr>
            <w:tcW w:type="dxa" w:w="7488"/>
          </w:tcPr>
          <w:p>
            <w:r>
              <w:t>具备多角色账号后开展越权测试。</w:t>
            </w:r>
          </w:p>
        </w:tc>
      </w:tr>
      <w:tr>
        <w:tc>
          <w:tcPr>
            <w:tcW w:type="dxa" w:w="1872"/>
            <w:shd w:val="clear" w:fill="F2F2F2"/>
          </w:tcPr>
          <w:p>
            <w:r>
              <w:rPr>
                <w:b/>
              </w:rPr>
              <w:t>备注</w:t>
            </w:r>
          </w:p>
        </w:tc>
        <w:tc>
          <w:tcPr>
            <w:tcW w:type="dxa" w:w="7488"/>
          </w:tcPr>
          <w:p>
            <w:r/>
          </w:p>
        </w:tc>
      </w:tr>
    </w:tbl>
    <w:p/>
    <w:p>
      <w:pPr>
        <w:pStyle w:val="Heading3"/>
      </w:pPr>
      <w:r>
        <w:t>PER-003 数据越权安全测试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PER-003</w:t>
            </w:r>
          </w:p>
        </w:tc>
      </w:tr>
      <w:tr>
        <w:tc>
          <w:tcPr>
            <w:tcW w:type="dxa" w:w="1872"/>
            <w:shd w:val="clear" w:fill="F2F2F2"/>
          </w:tcPr>
          <w:p>
            <w:r>
              <w:rPr>
                <w:b/>
              </w:rPr>
              <w:t>风险名称</w:t>
            </w:r>
          </w:p>
        </w:tc>
        <w:tc>
          <w:tcPr>
            <w:tcW w:type="dxa" w:w="7488"/>
          </w:tcPr>
          <w:p>
            <w:r>
              <w:t>数据越权安全测试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1. 系统需实现数据级权限控制，确保用户仅能访问/操作自身权限范围内的数据，严格区分个人数据与公共数据、普通数据与敏感数据的访问权限；2. 验证同级别角色数据隔离有效性：相同角色的不同用户，无法访问、查看、修改、删除其他用户的个人数据（如个人信息、提交的业务数据、个人操作记录等）；3. 验证不同级别角色数据访问权限：低权限角色无法访问高权限角色管辖范围内的敏感数据（如管理员可查看全量用户数据，普通用户仅能查看自身数据）；4. 补充场景验证：① 数据查询越权：通过篡改请求参数（如用户ID、数据ID、部门ID等），验证无法查询超出自身权限的数据；② 数据操作越权：验证无法修改、删除、导出超出自身权限的数据，无法对他人数据进行审批、编辑等操作；③ 敏感数据访问控制：未授权/低权限用户无法访问系统敏感数据（如身份证号、手机号、密码哈希、业务核心数据等）；5. 数据访问需伴随日志记录，明确记录数据访问人、访问时间、访问数据类型、操作内容，确保数据访问可追溯；6. 当用户尝试访问/操作超出自身数据权限的内容时，系统需及时拦截，返回权限不足提示，且不泄露任何未授权数据的相关信息。</w:t>
            </w:r>
          </w:p>
        </w:tc>
      </w:tr>
      <w:tr>
        <w:tc>
          <w:tcPr>
            <w:tcW w:type="dxa" w:w="1872"/>
            <w:shd w:val="clear" w:fill="F2F2F2"/>
          </w:tcPr>
          <w:p>
            <w:r>
              <w:rPr>
                <w:b/>
              </w:rPr>
              <w:t>风险影响</w:t>
            </w:r>
          </w:p>
        </w:tc>
        <w:tc>
          <w:tcPr>
            <w:tcW w:type="dxa" w:w="7488"/>
          </w:tcPr>
          <w:p>
            <w:r>
              <w:t>未管控将导致用户数据泄露、数据被非法篡改/删除，敏感信息外泄，侵犯用户隐私，破坏数据完整性和保密性</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无第二账号，数据越权（越权访问他人数据）无法验证。</w:t>
            </w:r>
          </w:p>
        </w:tc>
      </w:tr>
      <w:tr>
        <w:tc>
          <w:tcPr>
            <w:tcW w:type="dxa" w:w="1872"/>
            <w:shd w:val="clear" w:fill="F2F2F2"/>
          </w:tcPr>
          <w:p>
            <w:r>
              <w:rPr>
                <w:b/>
              </w:rPr>
              <w:t>修复建议</w:t>
            </w:r>
          </w:p>
        </w:tc>
        <w:tc>
          <w:tcPr>
            <w:tcW w:type="dxa" w:w="7488"/>
          </w:tcPr>
          <w:p>
            <w:r>
              <w:t>具备多账号后开展数据越权测试。</w:t>
            </w:r>
          </w:p>
        </w:tc>
      </w:tr>
      <w:tr>
        <w:tc>
          <w:tcPr>
            <w:tcW w:type="dxa" w:w="1872"/>
            <w:shd w:val="clear" w:fill="F2F2F2"/>
          </w:tcPr>
          <w:p>
            <w:r>
              <w:rPr>
                <w:b/>
              </w:rPr>
              <w:t>备注</w:t>
            </w:r>
          </w:p>
        </w:tc>
        <w:tc>
          <w:tcPr>
            <w:tcW w:type="dxa" w:w="7488"/>
          </w:tcPr>
          <w:p>
            <w:r/>
          </w:p>
        </w:tc>
      </w:tr>
    </w:tbl>
    <w:p/>
    <w:p>
      <w:pPr>
        <w:pStyle w:val="Heading2"/>
      </w:pPr>
      <w:r>
        <w:t>会话安全</w:t>
      </w:r>
    </w:p>
    <w:p>
      <w:pPr>
        <w:pStyle w:val="Heading3"/>
      </w:pPr>
      <w:r>
        <w:t>SESS-001 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 Cookie XXL_JOB_LOGIN_IDENTITY 的 Set-Cookie 仅含 Path=/; HttpOnly，未观察到 Secure 与 SameSite 属性，存在经明文信道传输/跨站携带的风险。</w:t>
            </w:r>
          </w:p>
        </w:tc>
      </w:tr>
      <w:tr>
        <w:tc>
          <w:tcPr>
            <w:tcW w:type="dxa" w:w="1872"/>
            <w:shd w:val="clear" w:fill="F2F2F2"/>
          </w:tcPr>
          <w:p>
            <w:r>
              <w:rPr>
                <w:b/>
              </w:rPr>
              <w:t>修复建议</w:t>
            </w:r>
          </w:p>
        </w:tc>
        <w:tc>
          <w:tcPr>
            <w:tcW w:type="dxa" w:w="7488"/>
          </w:tcPr>
          <w:p>
            <w:r>
              <w:t>为会话 Cookie 增加 Secure、SameSite=Strict/Lax 属性。</w:t>
            </w:r>
          </w:p>
        </w:tc>
      </w:tr>
      <w:tr>
        <w:tc>
          <w:tcPr>
            <w:tcW w:type="dxa" w:w="1872"/>
            <w:shd w:val="clear" w:fill="F2F2F2"/>
          </w:tcPr>
          <w:p>
            <w:r>
              <w:rPr>
                <w:b/>
              </w:rPr>
              <w:t>备注</w:t>
            </w:r>
          </w:p>
        </w:tc>
        <w:tc>
          <w:tcPr>
            <w:tcW w:type="dxa" w:w="7488"/>
          </w:tcPr>
          <w:p>
            <w:r/>
          </w:p>
        </w:tc>
      </w:tr>
    </w:tbl>
    <w:p/>
    <w:p>
      <w:pPr>
        <w:pStyle w:val="Heading3"/>
      </w:pPr>
      <w:r>
        <w:t>SESS-002 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伪造任意 Origin 发起跨域请求，响应未返回任何 Access-Control-Allow-* 头，未观察到宽松 CORS 配置。</w:t>
            </w:r>
          </w:p>
        </w:tc>
      </w:tr>
      <w:tr>
        <w:tc>
          <w:tcPr>
            <w:tcW w:type="dxa" w:w="1872"/>
            <w:shd w:val="clear" w:fill="F2F2F2"/>
          </w:tcPr>
          <w:p>
            <w:r>
              <w:rPr>
                <w:b/>
              </w:rPr>
              <w:t>修复建议</w:t>
            </w:r>
          </w:p>
        </w:tc>
        <w:tc>
          <w:tcPr>
            <w:tcW w:type="dxa" w:w="7488"/>
          </w:tcPr>
          <w:p>
            <w:r>
              <w:t>维持严格 CORS；如需跨域采用来源白名单。</w:t>
            </w:r>
          </w:p>
        </w:tc>
      </w:tr>
      <w:tr>
        <w:tc>
          <w:tcPr>
            <w:tcW w:type="dxa" w:w="1872"/>
            <w:shd w:val="clear" w:fill="F2F2F2"/>
          </w:tcPr>
          <w:p>
            <w:r>
              <w:rPr>
                <w:b/>
              </w:rPr>
              <w:t>备注</w:t>
            </w:r>
          </w:p>
        </w:tc>
        <w:tc>
          <w:tcPr>
            <w:tcW w:type="dxa" w:w="7488"/>
          </w:tcPr>
          <w:p>
            <w:r/>
          </w:p>
        </w:tc>
      </w:tr>
    </w:tbl>
    <w:p/>
    <w:p>
      <w:pPr>
        <w:pStyle w:val="Heading3"/>
      </w:pPr>
      <w:r>
        <w:t>SESS-003 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执行 POST /logout（返回 200）并在浏览器端注销后，复用登出前的同一 Cookie 值请求受保护页面 /jobinfo 仍返回 HTTP 200 且为已认证的“任务管理”页面（响应体 size=46108，含“欢迎 admin”），表明服务端未使会话失效——注销后旧 Cookie 仍可继续访问。</w:t>
            </w:r>
          </w:p>
        </w:tc>
      </w:tr>
      <w:tr>
        <w:tc>
          <w:tcPr>
            <w:tcW w:type="dxa" w:w="1872"/>
            <w:shd w:val="clear" w:fill="F2F2F2"/>
          </w:tcPr>
          <w:p>
            <w:r>
              <w:rPr>
                <w:b/>
              </w:rPr>
              <w:t>修复建议</w:t>
            </w:r>
          </w:p>
        </w:tc>
        <w:tc>
          <w:tcPr>
            <w:tcW w:type="dxa" w:w="7488"/>
          </w:tcPr>
          <w:p>
            <w:r>
              <w:t>服务端维护会话状态，并在登出时使凭据失效（黑名单/服务端会话销毁）。</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703320"/>
            <wp:docPr id="4" name="Picture 4"/>
            <wp:cNvGraphicFramePr>
              <a:graphicFrameLocks noChangeAspect="1"/>
            </wp:cNvGraphicFramePr>
            <a:graphic>
              <a:graphicData uri="http://schemas.openxmlformats.org/drawingml/2006/picture">
                <pic:pic>
                  <pic:nvPicPr>
                    <pic:cNvPr id="0" name="fig_jobinfo.png"/>
                    <pic:cNvPicPr/>
                  </pic:nvPicPr>
                  <pic:blipFill>
                    <a:blip r:embed="rId11"/>
                    <a:stretch>
                      <a:fillRect/>
                    </a:stretch>
                  </pic:blipFill>
                  <pic:spPr>
                    <a:xfrm>
                      <a:off x="0" y="0"/>
                      <a:ext cx="4937760" cy="3703320"/>
                    </a:xfrm>
                    <a:prstGeom prst="rect"/>
                  </pic:spPr>
                </pic:pic>
              </a:graphicData>
            </a:graphic>
          </wp:inline>
        </w:drawing>
      </w:r>
    </w:p>
    <w:p>
      <w:pPr>
        <w:jc w:val="center"/>
      </w:pPr>
      <w:r>
        <w:rPr>
          <w:i/>
          <w:sz w:val="18"/>
        </w:rPr>
        <w:t>图4：登出后复用旧 Cookie 仍可访问的任务管理页</w:t>
      </w:r>
    </w:p>
    <w:p/>
    <w:p>
      <w:pPr>
        <w:pStyle w:val="Heading3"/>
      </w:pPr>
      <w:r>
        <w:t>SESS-004 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未进行长时间空闲会话超时验证。</w:t>
            </w:r>
          </w:p>
        </w:tc>
      </w:tr>
      <w:tr>
        <w:tc>
          <w:tcPr>
            <w:tcW w:type="dxa" w:w="1872"/>
            <w:shd w:val="clear" w:fill="F2F2F2"/>
          </w:tcPr>
          <w:p>
            <w:r>
              <w:rPr>
                <w:b/>
              </w:rPr>
              <w:t>修复建议</w:t>
            </w:r>
          </w:p>
        </w:tc>
        <w:tc>
          <w:tcPr>
            <w:tcW w:type="dxa" w:w="7488"/>
          </w:tcPr>
          <w:p>
            <w:r>
              <w:t>设置合理的空闲会话超时。</w:t>
            </w:r>
          </w:p>
        </w:tc>
      </w:tr>
      <w:tr>
        <w:tc>
          <w:tcPr>
            <w:tcW w:type="dxa" w:w="1872"/>
            <w:shd w:val="clear" w:fill="F2F2F2"/>
          </w:tcPr>
          <w:p>
            <w:r>
              <w:rPr>
                <w:b/>
              </w:rPr>
              <w:t>备注</w:t>
            </w:r>
          </w:p>
        </w:tc>
        <w:tc>
          <w:tcPr>
            <w:tcW w:type="dxa" w:w="7488"/>
          </w:tcPr>
          <w:p>
            <w:r/>
          </w:p>
        </w:tc>
      </w:tr>
    </w:tbl>
    <w:p/>
    <w:p>
      <w:pPr>
        <w:pStyle w:val="Heading3"/>
      </w:pPr>
      <w:r>
        <w:t>SESS-005 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会话标识并非服务端随机高熵 SessionID，而是客户端存储的身份 Cookie（解码后含 username、口令散列、role），等同于把身份凭据交由客户端保管。</w:t>
            </w:r>
          </w:p>
        </w:tc>
      </w:tr>
      <w:tr>
        <w:tc>
          <w:tcPr>
            <w:tcW w:type="dxa" w:w="1872"/>
            <w:shd w:val="clear" w:fill="F2F2F2"/>
          </w:tcPr>
          <w:p>
            <w:r>
              <w:rPr>
                <w:b/>
              </w:rPr>
              <w:t>修复建议</w:t>
            </w:r>
          </w:p>
        </w:tc>
        <w:tc>
          <w:tcPr>
            <w:tcW w:type="dxa" w:w="7488"/>
          </w:tcPr>
          <w:p>
            <w:r>
              <w:t>采用服务端随机 SessionID，身份信息不落客户端。</w:t>
            </w:r>
          </w:p>
        </w:tc>
      </w:tr>
      <w:tr>
        <w:tc>
          <w:tcPr>
            <w:tcW w:type="dxa" w:w="1872"/>
            <w:shd w:val="clear" w:fill="F2F2F2"/>
          </w:tcPr>
          <w:p>
            <w:r>
              <w:rPr>
                <w:b/>
              </w:rPr>
              <w:t>备注</w:t>
            </w:r>
          </w:p>
        </w:tc>
        <w:tc>
          <w:tcPr>
            <w:tcW w:type="dxa" w:w="7488"/>
          </w:tcPr>
          <w:p>
            <w:r/>
          </w:p>
        </w:tc>
      </w:tr>
    </w:tbl>
    <w:p/>
    <w:p>
      <w:pPr>
        <w:pStyle w:val="Heading3"/>
      </w:pPr>
      <w:r>
        <w:t>SESS-006 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未对比登录前后会话标识是否更换，会话固定风险未验证。</w:t>
            </w:r>
          </w:p>
        </w:tc>
      </w:tr>
      <w:tr>
        <w:tc>
          <w:tcPr>
            <w:tcW w:type="dxa" w:w="1872"/>
            <w:shd w:val="clear" w:fill="F2F2F2"/>
          </w:tcPr>
          <w:p>
            <w:r>
              <w:rPr>
                <w:b/>
              </w:rPr>
              <w:t>修复建议</w:t>
            </w:r>
          </w:p>
        </w:tc>
        <w:tc>
          <w:tcPr>
            <w:tcW w:type="dxa" w:w="7488"/>
          </w:tcPr>
          <w:p>
            <w:r>
              <w:t>登录成功后重置会话标识。</w:t>
            </w:r>
          </w:p>
        </w:tc>
      </w:tr>
      <w:tr>
        <w:tc>
          <w:tcPr>
            <w:tcW w:type="dxa" w:w="1872"/>
            <w:shd w:val="clear" w:fill="F2F2F2"/>
          </w:tcPr>
          <w:p>
            <w:r>
              <w:rPr>
                <w:b/>
              </w:rPr>
              <w:t>备注</w:t>
            </w:r>
          </w:p>
        </w:tc>
        <w:tc>
          <w:tcPr>
            <w:tcW w:type="dxa" w:w="7488"/>
          </w:tcPr>
          <w:p>
            <w:r/>
          </w:p>
        </w:tc>
      </w:tr>
    </w:tbl>
    <w:p/>
    <w:p>
      <w:pPr>
        <w:pStyle w:val="Heading2"/>
      </w:pPr>
      <w:r>
        <w:t>密钥安全</w:t>
      </w:r>
    </w:p>
    <w:p>
      <w:pPr>
        <w:pStyle w:val="Heading3"/>
      </w:pPr>
      <w:r>
        <w:t>Key-001 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 Cookie 解码后 password 字段为 32 位十六进制摘要值（长度与 MD5 一致），口令散列随身份 Cookie 下发至客户端并可被读取。</w:t>
            </w:r>
          </w:p>
        </w:tc>
      </w:tr>
      <w:tr>
        <w:tc>
          <w:tcPr>
            <w:tcW w:type="dxa" w:w="1872"/>
            <w:shd w:val="clear" w:fill="F2F2F2"/>
          </w:tcPr>
          <w:p>
            <w:r>
              <w:rPr>
                <w:b/>
              </w:rPr>
              <w:t>修复建议</w:t>
            </w:r>
          </w:p>
        </w:tc>
        <w:tc>
          <w:tcPr>
            <w:tcW w:type="dxa" w:w="7488"/>
          </w:tcPr>
          <w:p>
            <w:r>
              <w:t>口令散列不下发客户端；服务端采用强加盐算法（bcrypt/scrypt/Argon2）存储口令。</w:t>
            </w:r>
          </w:p>
        </w:tc>
      </w:tr>
      <w:tr>
        <w:tc>
          <w:tcPr>
            <w:tcW w:type="dxa" w:w="1872"/>
            <w:shd w:val="clear" w:fill="F2F2F2"/>
          </w:tcPr>
          <w:p>
            <w:r>
              <w:rPr>
                <w:b/>
              </w:rPr>
              <w:t>备注</w:t>
            </w:r>
          </w:p>
        </w:tc>
        <w:tc>
          <w:tcPr>
            <w:tcW w:type="dxa" w:w="7488"/>
          </w:tcPr>
          <w:p>
            <w:r>
              <w:t>摘要算法是否为 MD5、是否加盐未经服务端确认；但口令散列在客户端可见本身即构成密钥/凭据存储缺陷。</w:t>
            </w:r>
          </w:p>
        </w:tc>
      </w:tr>
    </w:tbl>
    <w:p/>
    <w:p>
      <w:pPr>
        <w:pStyle w:val="Heading3"/>
      </w:pPr>
      <w:r>
        <w:t>Key-002 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未发现系统使用 AK/SK（云访问密钥）的场景，不涉及。</w:t>
            </w:r>
          </w:p>
        </w:tc>
      </w:tr>
      <w:tr>
        <w:tc>
          <w:tcPr>
            <w:tcW w:type="dxa" w:w="1872"/>
            <w:shd w:val="clear" w:fill="F2F2F2"/>
          </w:tcPr>
          <w:p>
            <w:r>
              <w:rPr>
                <w:b/>
              </w:rPr>
              <w:t>修复建议</w:t>
            </w:r>
          </w:p>
        </w:tc>
        <w:tc>
          <w:tcPr>
            <w:tcW w:type="dxa" w:w="7488"/>
          </w:tcPr>
          <w:p>
            <w:r>
              <w:t>若后续引入 AK/SK，需集中管理并定期轮换。</w:t>
            </w:r>
          </w:p>
        </w:tc>
      </w:tr>
      <w:tr>
        <w:tc>
          <w:tcPr>
            <w:tcW w:type="dxa" w:w="1872"/>
            <w:shd w:val="clear" w:fill="F2F2F2"/>
          </w:tcPr>
          <w:p>
            <w:r>
              <w:rPr>
                <w:b/>
              </w:rPr>
              <w:t>备注</w:t>
            </w:r>
          </w:p>
        </w:tc>
        <w:tc>
          <w:tcPr>
            <w:tcW w:type="dxa" w:w="7488"/>
          </w:tcPr>
          <w:p>
            <w:r/>
          </w:p>
        </w:tc>
      </w:tr>
    </w:tbl>
    <w:p/>
    <w:p>
      <w:pPr>
        <w:pStyle w:val="Heading2"/>
      </w:pPr>
      <w:r>
        <w:t>异常处理</w:t>
      </w:r>
    </w:p>
    <w:p>
      <w:pPr>
        <w:pStyle w:val="Heading3"/>
      </w:pPr>
      <w:r>
        <w:t>INFO-001 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user/pageList 接口在缺失必需参数时返回完整 Java 异常信息 “java.lang.IllegalStateException: Optional int parameter 'role' is present but cannot be translated into a null value...”，泄露后端语言/框架/参数实现细节。</w:t>
            </w:r>
          </w:p>
        </w:tc>
      </w:tr>
      <w:tr>
        <w:tc>
          <w:tcPr>
            <w:tcW w:type="dxa" w:w="1872"/>
            <w:shd w:val="clear" w:fill="F2F2F2"/>
          </w:tcPr>
          <w:p>
            <w:r>
              <w:rPr>
                <w:b/>
              </w:rPr>
              <w:t>修复建议</w:t>
            </w:r>
          </w:p>
        </w:tc>
        <w:tc>
          <w:tcPr>
            <w:tcW w:type="dxa" w:w="7488"/>
          </w:tcPr>
          <w:p>
            <w:r>
              <w:t>统一异常处理，对外返回通用错误码，不暴露内部异常堆栈。</w:t>
            </w:r>
          </w:p>
        </w:tc>
      </w:tr>
      <w:tr>
        <w:tc>
          <w:tcPr>
            <w:tcW w:type="dxa" w:w="1872"/>
            <w:shd w:val="clear" w:fill="F2F2F2"/>
          </w:tcPr>
          <w:p>
            <w:r>
              <w:rPr>
                <w:b/>
              </w:rPr>
              <w:t>备注</w:t>
            </w:r>
          </w:p>
        </w:tc>
        <w:tc>
          <w:tcPr>
            <w:tcW w:type="dxa" w:w="7488"/>
          </w:tcPr>
          <w:p>
            <w:r/>
          </w:p>
        </w:tc>
      </w:tr>
    </w:tbl>
    <w:p/>
    <w:p>
      <w:pPr>
        <w:pStyle w:val="Heading2"/>
      </w:pPr>
      <w:r>
        <w:t>业务安全</w:t>
      </w:r>
    </w:p>
    <w:p>
      <w:pPr>
        <w:pStyle w:val="Heading3"/>
      </w:pPr>
      <w:r>
        <w:t>BUS-001 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管理台核心为任务调度，未发现常规文件上传功能（GLUE 脚本为任务配置文本，非文件上传接口），文件上传专项不涉及。</w:t>
            </w:r>
          </w:p>
        </w:tc>
      </w:tr>
      <w:tr>
        <w:tc>
          <w:tcPr>
            <w:tcW w:type="dxa" w:w="1872"/>
            <w:shd w:val="clear" w:fill="F2F2F2"/>
          </w:tcPr>
          <w:p>
            <w:r>
              <w:rPr>
                <w:b/>
              </w:rPr>
              <w:t>修复建议</w:t>
            </w:r>
          </w:p>
        </w:tc>
        <w:tc>
          <w:tcPr>
            <w:tcW w:type="dxa" w:w="7488"/>
          </w:tcPr>
          <w:p>
            <w:r>
              <w:t>若存在上传功能需校验类型/内容/存储路径。</w:t>
            </w:r>
          </w:p>
        </w:tc>
      </w:tr>
      <w:tr>
        <w:tc>
          <w:tcPr>
            <w:tcW w:type="dxa" w:w="1872"/>
            <w:shd w:val="clear" w:fill="F2F2F2"/>
          </w:tcPr>
          <w:p>
            <w:r>
              <w:rPr>
                <w:b/>
              </w:rPr>
              <w:t>备注</w:t>
            </w:r>
          </w:p>
        </w:tc>
        <w:tc>
          <w:tcPr>
            <w:tcW w:type="dxa" w:w="7488"/>
          </w:tcPr>
          <w:p>
            <w:r/>
          </w:p>
        </w:tc>
      </w:tr>
    </w:tbl>
    <w:p/>
    <w:p>
      <w:pPr>
        <w:pStyle w:val="Heading3"/>
      </w:pPr>
      <w:r>
        <w:t>BUS-002 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系统存在“调度日志”查看功能，但未对日志文件下载是否存在越权/路径穿越做专项测试。</w:t>
            </w:r>
          </w:p>
        </w:tc>
      </w:tr>
      <w:tr>
        <w:tc>
          <w:tcPr>
            <w:tcW w:type="dxa" w:w="1872"/>
            <w:shd w:val="clear" w:fill="F2F2F2"/>
          </w:tcPr>
          <w:p>
            <w:r>
              <w:rPr>
                <w:b/>
              </w:rPr>
              <w:t>修复建议</w:t>
            </w:r>
          </w:p>
        </w:tc>
        <w:tc>
          <w:tcPr>
            <w:tcW w:type="dxa" w:w="7488"/>
          </w:tcPr>
          <w:p>
            <w:r>
              <w:t>若存在下载功能需鉴权与路径校验。</w:t>
            </w:r>
          </w:p>
        </w:tc>
      </w:tr>
      <w:tr>
        <w:tc>
          <w:tcPr>
            <w:tcW w:type="dxa" w:w="1872"/>
            <w:shd w:val="clear" w:fill="F2F2F2"/>
          </w:tcPr>
          <w:p>
            <w:r>
              <w:rPr>
                <w:b/>
              </w:rPr>
              <w:t>备注</w:t>
            </w:r>
          </w:p>
        </w:tc>
        <w:tc>
          <w:tcPr>
            <w:tcW w:type="dxa" w:w="7488"/>
          </w:tcPr>
          <w:p>
            <w:r/>
          </w:p>
        </w:tc>
      </w:tr>
    </w:tbl>
    <w:p/>
    <w:p>
      <w:pPr>
        <w:pStyle w:val="Heading3"/>
      </w:pPr>
      <w:r>
        <w:t>BUS-003 多线程竞争条件安全测试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多线程竞争条件安全测试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未进行多线程竞争条件测试。</w:t>
            </w:r>
          </w:p>
        </w:tc>
      </w:tr>
      <w:tr>
        <w:tc>
          <w:tcPr>
            <w:tcW w:type="dxa" w:w="1872"/>
            <w:shd w:val="clear" w:fill="F2F2F2"/>
          </w:tcPr>
          <w:p>
            <w:r>
              <w:rPr>
                <w:b/>
              </w:rPr>
              <w:t>修复建议</w:t>
            </w:r>
          </w:p>
        </w:tc>
        <w:tc>
          <w:tcPr>
            <w:tcW w:type="dxa" w:w="7488"/>
          </w:tcPr>
          <w:p>
            <w:r>
              <w:t>关键操作增加并发控制。</w:t>
            </w:r>
          </w:p>
        </w:tc>
      </w:tr>
      <w:tr>
        <w:tc>
          <w:tcPr>
            <w:tcW w:type="dxa" w:w="1872"/>
            <w:shd w:val="clear" w:fill="F2F2F2"/>
          </w:tcPr>
          <w:p>
            <w:r>
              <w:rPr>
                <w:b/>
              </w:rPr>
              <w:t>备注</w:t>
            </w:r>
          </w:p>
        </w:tc>
        <w:tc>
          <w:tcPr>
            <w:tcW w:type="dxa" w:w="7488"/>
          </w:tcPr>
          <w:p>
            <w:r/>
          </w:p>
        </w:tc>
      </w:tr>
    </w:tbl>
    <w:p/>
    <w:p>
      <w:pPr>
        <w:pStyle w:val="Heading3"/>
      </w:pPr>
      <w:r>
        <w:t>BUS-004 重要数据类型验证安全测试（如：积分数值、商品数量、userid、供应商id篡改异常值）</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重要数据类型验证安全测试（如：积分数值、商品数量、userid、供应商id篡改异常值）</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未对重要数据类型/参数篡改做专项验证。</w:t>
            </w:r>
          </w:p>
        </w:tc>
      </w:tr>
      <w:tr>
        <w:tc>
          <w:tcPr>
            <w:tcW w:type="dxa" w:w="1872"/>
            <w:shd w:val="clear" w:fill="F2F2F2"/>
          </w:tcPr>
          <w:p>
            <w:r>
              <w:rPr>
                <w:b/>
              </w:rPr>
              <w:t>修复建议</w:t>
            </w:r>
          </w:p>
        </w:tc>
        <w:tc>
          <w:tcPr>
            <w:tcW w:type="dxa" w:w="7488"/>
          </w:tcPr>
          <w:p>
            <w:r>
              <w:t>服务端强类型与业务规则校验。</w:t>
            </w:r>
          </w:p>
        </w:tc>
      </w:tr>
      <w:tr>
        <w:tc>
          <w:tcPr>
            <w:tcW w:type="dxa" w:w="1872"/>
            <w:shd w:val="clear" w:fill="F2F2F2"/>
          </w:tcPr>
          <w:p>
            <w:r>
              <w:rPr>
                <w:b/>
              </w:rPr>
              <w:t>备注</w:t>
            </w:r>
          </w:p>
        </w:tc>
        <w:tc>
          <w:tcPr>
            <w:tcW w:type="dxa" w:w="7488"/>
          </w:tcPr>
          <w:p>
            <w:r/>
          </w:p>
        </w:tc>
      </w:tr>
    </w:tbl>
    <w:p/>
    <w:p>
      <w:pPr>
        <w:pStyle w:val="Heading3"/>
      </w:pPr>
      <w:r>
        <w:t>BUS-005 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未进行业务流程越权/跳步（非预期执行）测试。</w:t>
            </w:r>
          </w:p>
        </w:tc>
      </w:tr>
      <w:tr>
        <w:tc>
          <w:tcPr>
            <w:tcW w:type="dxa" w:w="1872"/>
            <w:shd w:val="clear" w:fill="F2F2F2"/>
          </w:tcPr>
          <w:p>
            <w:r>
              <w:rPr>
                <w:b/>
              </w:rPr>
              <w:t>修复建议</w:t>
            </w:r>
          </w:p>
        </w:tc>
        <w:tc>
          <w:tcPr>
            <w:tcW w:type="dxa" w:w="7488"/>
          </w:tcPr>
          <w:p>
            <w:r>
              <w:t>服务端校验业务流程状态与前置条件。</w:t>
            </w:r>
          </w:p>
        </w:tc>
      </w:tr>
      <w:tr>
        <w:tc>
          <w:tcPr>
            <w:tcW w:type="dxa" w:w="1872"/>
            <w:shd w:val="clear" w:fill="F2F2F2"/>
          </w:tcPr>
          <w:p>
            <w:r>
              <w:rPr>
                <w:b/>
              </w:rPr>
              <w:t>备注</w:t>
            </w:r>
          </w:p>
        </w:tc>
        <w:tc>
          <w:tcPr>
            <w:tcW w:type="dxa" w:w="7488"/>
          </w:tcPr>
          <w:p>
            <w:r/>
          </w:p>
        </w:tc>
      </w:tr>
    </w:tbl>
    <w:p/>
    <w:p>
      <w:pPr>
        <w:pStyle w:val="Heading2"/>
      </w:pPr>
      <w:r>
        <w:t>日志审计</w:t>
      </w:r>
    </w:p>
    <w:p>
      <w:pPr>
        <w:pStyle w:val="Heading3"/>
      </w:pPr>
      <w:r>
        <w:t>AUD-001 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系统提供任务“调度日志”（记录任务触发/执行结果），但未发现针对用户操作（登录、登出、用户增删改、执行器/任务配置变更）的安全审计日志。</w:t>
            </w:r>
          </w:p>
        </w:tc>
      </w:tr>
      <w:tr>
        <w:tc>
          <w:tcPr>
            <w:tcW w:type="dxa" w:w="1872"/>
            <w:shd w:val="clear" w:fill="F2F2F2"/>
          </w:tcPr>
          <w:p>
            <w:r>
              <w:rPr>
                <w:b/>
              </w:rPr>
              <w:t>修复建议</w:t>
            </w:r>
          </w:p>
        </w:tc>
        <w:tc>
          <w:tcPr>
            <w:tcW w:type="dxa" w:w="7488"/>
          </w:tcPr>
          <w:p>
            <w:r>
              <w:t>增加用户操作审计日志（登录/登出/配置变更/用户管理）。</w:t>
            </w:r>
          </w:p>
        </w:tc>
      </w:tr>
      <w:tr>
        <w:tc>
          <w:tcPr>
            <w:tcW w:type="dxa" w:w="1872"/>
            <w:shd w:val="clear" w:fill="F2F2F2"/>
          </w:tcPr>
          <w:p>
            <w:r>
              <w:rPr>
                <w:b/>
              </w:rPr>
              <w:t>备注</w:t>
            </w:r>
          </w:p>
        </w:tc>
        <w:tc>
          <w:tcPr>
            <w:tcW w:type="dxa" w:w="7488"/>
          </w:tcPr>
          <w:p>
            <w:r>
              <w:t>为界面层观察结论。</w:t>
            </w:r>
          </w:p>
        </w:tc>
      </w:tr>
    </w:tbl>
    <w:p/>
    <w:p>
      <w:pPr>
        <w:pStyle w:val="Heading3"/>
      </w:pPr>
      <w:r>
        <w:t>AUD-002 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缺少安全审计日志或日志信息不全，会导致出现安全事件后，不能有效溯源攻击路径，定位风险影响等，且不满足等保2.0要求</w:t>
            </w:r>
          </w:p>
        </w:tc>
      </w:tr>
      <w:tr>
        <w:tc>
          <w:tcPr>
            <w:tcW w:type="dxa" w:w="1872"/>
            <w:shd w:val="clear" w:fill="F2F2F2"/>
          </w:tcPr>
          <w:p>
            <w:r>
              <w:rPr>
                <w:b/>
              </w:rPr>
              <w:t>测试依据</w:t>
            </w:r>
          </w:p>
        </w:tc>
        <w:tc>
          <w:tcPr>
            <w:tcW w:type="dxa" w:w="7488"/>
          </w:tcPr>
          <w:p>
            <w: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未获得后台日志内容访问权限，无法核验审计日志是否包含足够要素（时间/主体/操作/结果）。</w:t>
            </w:r>
          </w:p>
        </w:tc>
      </w:tr>
      <w:tr>
        <w:tc>
          <w:tcPr>
            <w:tcW w:type="dxa" w:w="1872"/>
            <w:shd w:val="clear" w:fill="F2F2F2"/>
          </w:tcPr>
          <w:p>
            <w:r>
              <w:rPr>
                <w:b/>
              </w:rPr>
              <w:t>修复建议</w:t>
            </w:r>
          </w:p>
        </w:tc>
        <w:tc>
          <w:tcPr>
            <w:tcW w:type="dxa" w:w="7488"/>
          </w:tcPr>
          <w:p>
            <w:r>
              <w:t>审计日志应包含关键要素。</w:t>
            </w:r>
          </w:p>
        </w:tc>
      </w:tr>
      <w:tr>
        <w:tc>
          <w:tcPr>
            <w:tcW w:type="dxa" w:w="1872"/>
            <w:shd w:val="clear" w:fill="F2F2F2"/>
          </w:tcPr>
          <w:p>
            <w:r>
              <w:rPr>
                <w:b/>
              </w:rPr>
              <w:t>备注</w:t>
            </w:r>
          </w:p>
        </w:tc>
        <w:tc>
          <w:tcPr>
            <w:tcW w:type="dxa" w:w="7488"/>
          </w:tcPr>
          <w:p>
            <w:r/>
          </w:p>
        </w:tc>
      </w:tr>
    </w:tbl>
    <w:p/>
    <w:p>
      <w:pPr>
        <w:pStyle w:val="Heading3"/>
      </w:pPr>
      <w:r>
        <w:t>AUD-003 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存在安全事件无法定位溯源的风险，安全审计日志存储时间较短，会导致出现入侵事件后，无法有效溯源攻击路径，进而造成更大损失，且不满足等保2.0要求</w:t>
            </w:r>
          </w:p>
        </w:tc>
      </w:tr>
      <w:tr>
        <w:tc>
          <w:tcPr>
            <w:tcW w:type="dxa" w:w="1872"/>
            <w:shd w:val="clear" w:fill="F2F2F2"/>
          </w:tcPr>
          <w:p>
            <w:r>
              <w:rPr>
                <w:b/>
              </w:rPr>
              <w:t>测试依据</w:t>
            </w:r>
          </w:p>
        </w:tc>
        <w:tc>
          <w:tcPr>
            <w:tcW w:type="dxa" w:w="7488"/>
          </w:tcPr>
          <w:p>
            <w:r>
              <w:t>《GBT22239-2019信息安全技术网络安全等级保护基本要求》</w:t>
              <w:br/>
              <w:t>《网络安全法（2025修正，2026-01-01施行）》</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无法验证审计日志的独立存储与防篡改（需后端/运维层面）。</w:t>
            </w:r>
          </w:p>
        </w:tc>
      </w:tr>
      <w:tr>
        <w:tc>
          <w:tcPr>
            <w:tcW w:type="dxa" w:w="1872"/>
            <w:shd w:val="clear" w:fill="F2F2F2"/>
          </w:tcPr>
          <w:p>
            <w:r>
              <w:rPr>
                <w:b/>
              </w:rPr>
              <w:t>修复建议</w:t>
            </w:r>
          </w:p>
        </w:tc>
        <w:tc>
          <w:tcPr>
            <w:tcW w:type="dxa" w:w="7488"/>
          </w:tcPr>
          <w:p>
            <w:r>
              <w:t>审计日志独立存储、防篡改、按合规期限留存。</w:t>
            </w:r>
          </w:p>
        </w:tc>
      </w:tr>
      <w:tr>
        <w:tc>
          <w:tcPr>
            <w:tcW w:type="dxa" w:w="1872"/>
            <w:shd w:val="clear" w:fill="F2F2F2"/>
          </w:tcPr>
          <w:p>
            <w:r>
              <w:rPr>
                <w:b/>
              </w:rPr>
              <w:t>备注</w:t>
            </w:r>
          </w:p>
        </w:tc>
        <w:tc>
          <w:tcPr>
            <w:tcW w:type="dxa" w:w="7488"/>
          </w:tcPr>
          <w:p>
            <w:r/>
          </w:p>
        </w:tc>
      </w:tr>
    </w:tbl>
    <w:p/>
    <w:p>
      <w:pPr>
        <w:pStyle w:val="Heading2"/>
      </w:pPr>
      <w:r>
        <w:t>数据安全</w:t>
      </w:r>
    </w:p>
    <w:p>
      <w:pPr>
        <w:pStyle w:val="Heading3"/>
      </w:pPr>
      <w:r>
        <w:t>DATA-001 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《数据安全法》</w:t>
              <w:br/>
              <w:t>《个人信息保护法》</w:t>
              <w:br/>
              <w:t>《GBT22239-2019信息安全技术网络安全等级保护基本要求》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本次测试经 cpolar HTTP 隧道进行，隧道在 cpolar 侧终止 TLS，无法据此判断目标真实的 HTTPS/TLS 传输配置；建议在直连条件下复测。</w:t>
            </w:r>
          </w:p>
        </w:tc>
      </w:tr>
      <w:tr>
        <w:tc>
          <w:tcPr>
            <w:tcW w:type="dxa" w:w="1872"/>
            <w:shd w:val="clear" w:fill="F2F2F2"/>
          </w:tcPr>
          <w:p>
            <w:r>
              <w:rPr>
                <w:b/>
              </w:rPr>
              <w:t>修复建议</w:t>
            </w:r>
          </w:p>
        </w:tc>
        <w:tc>
          <w:tcPr>
            <w:tcW w:type="dxa" w:w="7488"/>
          </w:tcPr>
          <w:p>
            <w:r>
              <w:t>目标强制 HTTPS、TLS1.2+、启用 HSTS。</w:t>
            </w:r>
          </w:p>
        </w:tc>
      </w:tr>
      <w:tr>
        <w:tc>
          <w:tcPr>
            <w:tcW w:type="dxa" w:w="1872"/>
            <w:shd w:val="clear" w:fill="F2F2F2"/>
          </w:tcPr>
          <w:p>
            <w:r>
              <w:rPr>
                <w:b/>
              </w:rPr>
              <w:t>备注</w:t>
            </w:r>
          </w:p>
        </w:tc>
        <w:tc>
          <w:tcPr>
            <w:tcW w:type="dxa" w:w="7488"/>
          </w:tcPr>
          <w:p>
            <w:r/>
          </w:p>
        </w:tc>
      </w:tr>
    </w:tbl>
    <w:p/>
    <w:p>
      <w:pPr>
        <w:pStyle w:val="Heading3"/>
      </w:pPr>
      <w:r>
        <w:t>DATA-002 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《数据安全法》</w:t>
              <w:br/>
              <w:t>《个人信息保护法》</w:t>
              <w:br/>
              <w:t>《GBT22239-2019信息安全技术网络安全等级保护基本要求》</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任务调度系统展示内容以任务/执行器/调度记录为主，未发现个人敏感信息展示场景，数据脱敏专项不涉及。</w:t>
            </w:r>
          </w:p>
        </w:tc>
      </w:tr>
      <w:tr>
        <w:tc>
          <w:tcPr>
            <w:tcW w:type="dxa" w:w="1872"/>
            <w:shd w:val="clear" w:fill="F2F2F2"/>
          </w:tcPr>
          <w:p>
            <w:r>
              <w:rPr>
                <w:b/>
              </w:rPr>
              <w:t>修复建议</w:t>
            </w:r>
          </w:p>
        </w:tc>
        <w:tc>
          <w:tcPr>
            <w:tcW w:type="dxa" w:w="7488"/>
          </w:tcPr>
          <w:p>
            <w:r>
              <w:t>若展示敏感数据需脱敏。</w:t>
            </w:r>
          </w:p>
        </w:tc>
      </w:tr>
      <w:tr>
        <w:tc>
          <w:tcPr>
            <w:tcW w:type="dxa" w:w="1872"/>
            <w:shd w:val="clear" w:fill="F2F2F2"/>
          </w:tcPr>
          <w:p>
            <w:r>
              <w:rPr>
                <w:b/>
              </w:rPr>
              <w:t>备注</w:t>
            </w:r>
          </w:p>
        </w:tc>
        <w:tc>
          <w:tcPr>
            <w:tcW w:type="dxa" w:w="7488"/>
          </w:tcPr>
          <w:p>
            <w:r/>
          </w:p>
        </w:tc>
      </w:tr>
    </w:tbl>
    <w:p/>
    <w:p>
      <w:pPr>
        <w:pStyle w:val="Heading3"/>
      </w:pPr>
      <w:r>
        <w:t>DATA-003 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《数据安全法》</w:t>
              <w:br/>
              <w:t>《个人信息保护法》</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未发现敏感数据批量导出功能，不涉及。</w:t>
            </w:r>
          </w:p>
        </w:tc>
      </w:tr>
      <w:tr>
        <w:tc>
          <w:tcPr>
            <w:tcW w:type="dxa" w:w="1872"/>
            <w:shd w:val="clear" w:fill="F2F2F2"/>
          </w:tcPr>
          <w:p>
            <w:r>
              <w:rPr>
                <w:b/>
              </w:rPr>
              <w:t>修复建议</w:t>
            </w:r>
          </w:p>
        </w:tc>
        <w:tc>
          <w:tcPr>
            <w:tcW w:type="dxa" w:w="7488"/>
          </w:tcPr>
          <w:p>
            <w:r>
              <w:t>若提供导出功能需鉴权与审计。</w:t>
            </w:r>
          </w:p>
        </w:tc>
      </w:tr>
      <w:tr>
        <w:tc>
          <w:tcPr>
            <w:tcW w:type="dxa" w:w="1872"/>
            <w:shd w:val="clear" w:fill="F2F2F2"/>
          </w:tcPr>
          <w:p>
            <w:r>
              <w:rPr>
                <w:b/>
              </w:rPr>
              <w:t>备注</w:t>
            </w:r>
          </w:p>
        </w:tc>
        <w:tc>
          <w:tcPr>
            <w:tcW w:type="dxa" w:w="7488"/>
          </w:tcPr>
          <w:p>
            <w:r/>
          </w:p>
        </w:tc>
      </w:tr>
    </w:tbl>
    <w:p/>
    <w:p>
      <w:pPr>
        <w:pStyle w:val="Heading2"/>
      </w:pPr>
      <w:r>
        <w:t>常见漏洞</w:t>
      </w:r>
    </w:p>
    <w:p>
      <w:pPr>
        <w:pStyle w:val="Heading3"/>
      </w:pPr>
      <w:r>
        <w:t>VULN-001 HTTPS安全测试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HTTPS/TLS 配置经隧道无法验证（同 DATA-001）。</w:t>
            </w:r>
          </w:p>
        </w:tc>
      </w:tr>
      <w:tr>
        <w:tc>
          <w:tcPr>
            <w:tcW w:type="dxa" w:w="1872"/>
            <w:shd w:val="clear" w:fill="F2F2F2"/>
          </w:tcPr>
          <w:p>
            <w:r>
              <w:rPr>
                <w:b/>
              </w:rPr>
              <w:t>修复建议</w:t>
            </w:r>
          </w:p>
        </w:tc>
        <w:tc>
          <w:tcPr>
            <w:tcW w:type="dxa" w:w="7488"/>
          </w:tcPr>
          <w:p>
            <w:r>
              <w:t>见 DATA-001。</w:t>
            </w:r>
          </w:p>
        </w:tc>
      </w:tr>
      <w:tr>
        <w:tc>
          <w:tcPr>
            <w:tcW w:type="dxa" w:w="1872"/>
            <w:shd w:val="clear" w:fill="F2F2F2"/>
          </w:tcPr>
          <w:p>
            <w:r>
              <w:rPr>
                <w:b/>
              </w:rPr>
              <w:t>备注</w:t>
            </w:r>
          </w:p>
        </w:tc>
        <w:tc>
          <w:tcPr>
            <w:tcW w:type="dxa" w:w="7488"/>
          </w:tcPr>
          <w:p>
            <w:r/>
          </w:p>
        </w:tc>
      </w:tr>
    </w:tbl>
    <w:p/>
    <w:p>
      <w:pPr>
        <w:pStyle w:val="Heading3"/>
      </w:pPr>
      <w:r>
        <w:t>VULN-002 HTTP高危请求方法安全测试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HTTP高危请求方法安全测试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/toLogin 对 PUT/DELETE/PATCH 请求返回 200（TRACE 返回 405 已禁用，OPTIONS 返回 302）；返回内容为 SPA/回退页面、未证实存在状态变更操作，但服务器未对高危方法统一拒绝。</w:t>
            </w:r>
          </w:p>
        </w:tc>
      </w:tr>
      <w:tr>
        <w:tc>
          <w:tcPr>
            <w:tcW w:type="dxa" w:w="1872"/>
            <w:shd w:val="clear" w:fill="F2F2F2"/>
          </w:tcPr>
          <w:p>
            <w:r>
              <w:rPr>
                <w:b/>
              </w:rPr>
              <w:t>修复建议</w:t>
            </w:r>
          </w:p>
        </w:tc>
        <w:tc>
          <w:tcPr>
            <w:tcW w:type="dxa" w:w="7488"/>
          </w:tcPr>
          <w:p>
            <w:r>
              <w:t>服务端/网关限制仅允许必要的 HTTP 方法（如 GET/POST）。</w:t>
            </w:r>
          </w:p>
        </w:tc>
      </w:tr>
      <w:tr>
        <w:tc>
          <w:tcPr>
            <w:tcW w:type="dxa" w:w="1872"/>
            <w:shd w:val="clear" w:fill="F2F2F2"/>
          </w:tcPr>
          <w:p>
            <w:r>
              <w:rPr>
                <w:b/>
              </w:rPr>
              <w:t>备注</w:t>
            </w:r>
          </w:p>
        </w:tc>
        <w:tc>
          <w:tcPr>
            <w:tcW w:type="dxa" w:w="7488"/>
          </w:tcPr>
          <w:p>
            <w:r/>
          </w:p>
        </w:tc>
      </w:tr>
    </w:tbl>
    <w:p/>
    <w:p>
      <w:pPr>
        <w:pStyle w:val="Heading3"/>
      </w:pPr>
      <w:r>
        <w:t>VULN-003 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br/>
              <w:t>《OWASP Top 10:2025》</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当前 admin 口令非 XXL-JOB 默认口令（默认 123456），且满足一定复杂度，未发现使用弱口令/默认口令登录成功。</w:t>
            </w:r>
          </w:p>
        </w:tc>
      </w:tr>
      <w:tr>
        <w:tc>
          <w:tcPr>
            <w:tcW w:type="dxa" w:w="1872"/>
            <w:shd w:val="clear" w:fill="F2F2F2"/>
          </w:tcPr>
          <w:p>
            <w:r>
              <w:rPr>
                <w:b/>
              </w:rPr>
              <w:t>修复建议</w:t>
            </w:r>
          </w:p>
        </w:tc>
        <w:tc>
          <w:tcPr>
            <w:tcW w:type="dxa" w:w="7488"/>
          </w:tcPr>
          <w:p>
            <w:r>
              <w:t>维持强口令并强制复杂度策略。</w:t>
            </w:r>
          </w:p>
        </w:tc>
      </w:tr>
      <w:tr>
        <w:tc>
          <w:tcPr>
            <w:tcW w:type="dxa" w:w="1872"/>
            <w:shd w:val="clear" w:fill="F2F2F2"/>
          </w:tcPr>
          <w:p>
            <w:r>
              <w:rPr>
                <w:b/>
              </w:rPr>
              <w:t>备注</w:t>
            </w:r>
          </w:p>
        </w:tc>
        <w:tc>
          <w:tcPr>
            <w:tcW w:type="dxa" w:w="7488"/>
          </w:tcPr>
          <w:p>
            <w:r>
              <w:t>与 AUTH-008（无强制复杂度策略）为不同维度。</w:t>
            </w:r>
          </w:p>
        </w:tc>
      </w:tr>
    </w:tbl>
    <w:p/>
    <w:p>
      <w:pPr>
        <w:pStyle w:val="Heading3"/>
      </w:pPr>
      <w:r>
        <w:t>VULN-004 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br/>
              <w:t>《OWASP Top 10:2025》</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出于生产环境数据完整性保护，未注入 XSS payload；前端 maxlength 为客户端限制可绕过，服务端输出编码情况未验证。</w:t>
            </w:r>
          </w:p>
        </w:tc>
      </w:tr>
      <w:tr>
        <w:tc>
          <w:tcPr>
            <w:tcW w:type="dxa" w:w="1872"/>
            <w:shd w:val="clear" w:fill="F2F2F2"/>
          </w:tcPr>
          <w:p>
            <w:r>
              <w:rPr>
                <w:b/>
              </w:rPr>
              <w:t>修复建议</w:t>
            </w:r>
          </w:p>
        </w:tc>
        <w:tc>
          <w:tcPr>
            <w:tcW w:type="dxa" w:w="7488"/>
          </w:tcPr>
          <w:p>
            <w:r>
              <w:t>服务端输出编码 + 内容安全策略(CSP)。</w:t>
            </w:r>
          </w:p>
        </w:tc>
      </w:tr>
      <w:tr>
        <w:tc>
          <w:tcPr>
            <w:tcW w:type="dxa" w:w="1872"/>
            <w:shd w:val="clear" w:fill="F2F2F2"/>
          </w:tcPr>
          <w:p>
            <w:r>
              <w:rPr>
                <w:b/>
              </w:rPr>
              <w:t>备注</w:t>
            </w:r>
          </w:p>
        </w:tc>
        <w:tc>
          <w:tcPr>
            <w:tcW w:type="dxa" w:w="7488"/>
          </w:tcPr>
          <w:p>
            <w:r/>
          </w:p>
        </w:tc>
      </w:tr>
    </w:tbl>
    <w:p/>
    <w:p>
      <w:pPr>
        <w:pStyle w:val="Heading3"/>
      </w:pPr>
      <w:r>
        <w:t>VULN-005 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未发现 XML 解析接口，XXE 不涉及。</w:t>
            </w:r>
          </w:p>
        </w:tc>
      </w:tr>
      <w:tr>
        <w:tc>
          <w:tcPr>
            <w:tcW w:type="dxa" w:w="1872"/>
            <w:shd w:val="clear" w:fill="F2F2F2"/>
          </w:tcPr>
          <w:p>
            <w:r>
              <w:rPr>
                <w:b/>
              </w:rPr>
              <w:t>修复建议</w:t>
            </w:r>
          </w:p>
        </w:tc>
        <w:tc>
          <w:tcPr>
            <w:tcW w:type="dxa" w:w="7488"/>
          </w:tcPr>
          <w:p>
            <w:r>
              <w:t>若引入 XML 解析需禁用外部实体。</w:t>
            </w:r>
          </w:p>
        </w:tc>
      </w:tr>
      <w:tr>
        <w:tc>
          <w:tcPr>
            <w:tcW w:type="dxa" w:w="1872"/>
            <w:shd w:val="clear" w:fill="F2F2F2"/>
          </w:tcPr>
          <w:p>
            <w:r>
              <w:rPr>
                <w:b/>
              </w:rPr>
              <w:t>备注</w:t>
            </w:r>
          </w:p>
        </w:tc>
        <w:tc>
          <w:tcPr>
            <w:tcW w:type="dxa" w:w="7488"/>
          </w:tcPr>
          <w:p>
            <w:r/>
          </w:p>
        </w:tc>
      </w:tr>
    </w:tbl>
    <w:p/>
    <w:p>
      <w:pPr>
        <w:pStyle w:val="Heading3"/>
      </w:pPr>
      <w:r>
        <w:t>VULN-006 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br/>
              <w:t>《OWASP Top 10:2025》</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页面表单及 AJAX POST 未观察到 CSRF Token，且 Cookie 未设置 SameSite，缺乏 CSRF 防护机制。</w:t>
            </w:r>
          </w:p>
        </w:tc>
      </w:tr>
      <w:tr>
        <w:tc>
          <w:tcPr>
            <w:tcW w:type="dxa" w:w="1872"/>
            <w:shd w:val="clear" w:fill="F2F2F2"/>
          </w:tcPr>
          <w:p>
            <w:r>
              <w:rPr>
                <w:b/>
              </w:rPr>
              <w:t>修复建议</w:t>
            </w:r>
          </w:p>
        </w:tc>
        <w:tc>
          <w:tcPr>
            <w:tcW w:type="dxa" w:w="7488"/>
          </w:tcPr>
          <w:p>
            <w:r>
              <w:t>引入 CSRF Token 并校验 Origin/Referer；Cookie 设置 SameSite。</w:t>
            </w:r>
          </w:p>
        </w:tc>
      </w:tr>
      <w:tr>
        <w:tc>
          <w:tcPr>
            <w:tcW w:type="dxa" w:w="1872"/>
            <w:shd w:val="clear" w:fill="F2F2F2"/>
          </w:tcPr>
          <w:p>
            <w:r>
              <w:rPr>
                <w:b/>
              </w:rPr>
              <w:t>备注</w:t>
            </w:r>
          </w:p>
        </w:tc>
        <w:tc>
          <w:tcPr>
            <w:tcW w:type="dxa" w:w="7488"/>
          </w:tcPr>
          <w:p>
            <w:r>
              <w:t>未构造并验证实际跨站状态变更，故为防护缺失的观察性结论，非已实测利用。</w:t>
            </w:r>
          </w:p>
        </w:tc>
      </w:tr>
    </w:tbl>
    <w:p/>
    <w:p>
      <w:pPr>
        <w:pStyle w:val="Heading3"/>
      </w:pPr>
      <w:r>
        <w:t>VULN-007 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br/>
              <w:t>《OWASP Top 10:2025》</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未在生产执行 SSRF 验证性测试；XXL-JOB 执行器按 handler 逻辑运行，executorParam 是否可触发内网请求取决于 handler 实现，未实测。</w:t>
            </w:r>
          </w:p>
        </w:tc>
      </w:tr>
      <w:tr>
        <w:tc>
          <w:tcPr>
            <w:tcW w:type="dxa" w:w="1872"/>
            <w:shd w:val="clear" w:fill="F2F2F2"/>
          </w:tcPr>
          <w:p>
            <w:r>
              <w:rPr>
                <w:b/>
              </w:rPr>
              <w:t>修复建议</w:t>
            </w:r>
          </w:p>
        </w:tc>
        <w:tc>
          <w:tcPr>
            <w:tcW w:type="dxa" w:w="7488"/>
          </w:tcPr>
          <w:p>
            <w:r>
              <w:t>对可控外呼参数做白名单校验。</w:t>
            </w:r>
          </w:p>
        </w:tc>
      </w:tr>
      <w:tr>
        <w:tc>
          <w:tcPr>
            <w:tcW w:type="dxa" w:w="1872"/>
            <w:shd w:val="clear" w:fill="F2F2F2"/>
          </w:tcPr>
          <w:p>
            <w:r>
              <w:rPr>
                <w:b/>
              </w:rPr>
              <w:t>备注</w:t>
            </w:r>
          </w:p>
        </w:tc>
        <w:tc>
          <w:tcPr>
            <w:tcW w:type="dxa" w:w="7488"/>
          </w:tcPr>
          <w:p>
            <w:r/>
          </w:p>
        </w:tc>
      </w:tr>
    </w:tbl>
    <w:p/>
    <w:p>
      <w:pPr>
        <w:pStyle w:val="Heading3"/>
      </w:pPr>
      <w:r>
        <w:t>VULN-008 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br/>
              <w:t>《OWASP Top 10:2025》</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出于生产数据安全，未对接口执行 SQL 注入验证性测试。</w:t>
            </w:r>
          </w:p>
        </w:tc>
      </w:tr>
      <w:tr>
        <w:tc>
          <w:tcPr>
            <w:tcW w:type="dxa" w:w="1872"/>
            <w:shd w:val="clear" w:fill="F2F2F2"/>
          </w:tcPr>
          <w:p>
            <w:r>
              <w:rPr>
                <w:b/>
              </w:rPr>
              <w:t>修复建议</w:t>
            </w:r>
          </w:p>
        </w:tc>
        <w:tc>
          <w:tcPr>
            <w:tcW w:type="dxa" w:w="7488"/>
          </w:tcPr>
          <w:p>
            <w:r>
              <w:t>参数化查询/ORM，避免拼接 SQL。</w:t>
            </w:r>
          </w:p>
        </w:tc>
      </w:tr>
      <w:tr>
        <w:tc>
          <w:tcPr>
            <w:tcW w:type="dxa" w:w="1872"/>
            <w:shd w:val="clear" w:fill="F2F2F2"/>
          </w:tcPr>
          <w:p>
            <w:r>
              <w:rPr>
                <w:b/>
              </w:rPr>
              <w:t>备注</w:t>
            </w:r>
          </w:p>
        </w:tc>
        <w:tc>
          <w:tcPr>
            <w:tcW w:type="dxa" w:w="7488"/>
          </w:tcPr>
          <w:p>
            <w:r/>
          </w:p>
        </w:tc>
      </w:tr>
    </w:tbl>
    <w:p/>
    <w:p>
      <w:pPr>
        <w:pStyle w:val="Heading3"/>
      </w:pPr>
      <w:r>
        <w:t>VULN-009 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br/>
              <w:t>《OWASP Top 10:2025》</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未发现 LDAP 认证/查询场景，不涉及。</w:t>
            </w:r>
          </w:p>
        </w:tc>
      </w:tr>
      <w:tr>
        <w:tc>
          <w:tcPr>
            <w:tcW w:type="dxa" w:w="1872"/>
            <w:shd w:val="clear" w:fill="F2F2F2"/>
          </w:tcPr>
          <w:p>
            <w:r>
              <w:rPr>
                <w:b/>
              </w:rPr>
              <w:t>修复建议</w:t>
            </w:r>
          </w:p>
        </w:tc>
        <w:tc>
          <w:tcPr>
            <w:tcW w:type="dxa" w:w="7488"/>
          </w:tcPr>
          <w:p>
            <w:r>
              <w:t>若引入 LDAP 需过滤特殊字符。</w:t>
            </w:r>
          </w:p>
        </w:tc>
      </w:tr>
      <w:tr>
        <w:tc>
          <w:tcPr>
            <w:tcW w:type="dxa" w:w="1872"/>
            <w:shd w:val="clear" w:fill="F2F2F2"/>
          </w:tcPr>
          <w:p>
            <w:r>
              <w:rPr>
                <w:b/>
              </w:rPr>
              <w:t>备注</w:t>
            </w:r>
          </w:p>
        </w:tc>
        <w:tc>
          <w:tcPr>
            <w:tcW w:type="dxa" w:w="7488"/>
          </w:tcPr>
          <w:p>
            <w:r/>
          </w:p>
        </w:tc>
      </w:tr>
    </w:tbl>
    <w:p/>
    <w:p>
      <w:pPr>
        <w:pStyle w:val="Heading3"/>
      </w:pPr>
      <w:r>
        <w:t>VULN-010 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未进行本地/远程文件包含专项测试。</w:t>
            </w:r>
          </w:p>
        </w:tc>
      </w:tr>
      <w:tr>
        <w:tc>
          <w:tcPr>
            <w:tcW w:type="dxa" w:w="1872"/>
            <w:shd w:val="clear" w:fill="F2F2F2"/>
          </w:tcPr>
          <w:p>
            <w:r>
              <w:rPr>
                <w:b/>
              </w:rPr>
              <w:t>修复建议</w:t>
            </w:r>
          </w:p>
        </w:tc>
        <w:tc>
          <w:tcPr>
            <w:tcW w:type="dxa" w:w="7488"/>
          </w:tcPr>
          <w:p>
            <w:r>
              <w:t>禁止动态包含用户可控路径。</w:t>
            </w:r>
          </w:p>
        </w:tc>
      </w:tr>
      <w:tr>
        <w:tc>
          <w:tcPr>
            <w:tcW w:type="dxa" w:w="1872"/>
            <w:shd w:val="clear" w:fill="F2F2F2"/>
          </w:tcPr>
          <w:p>
            <w:r>
              <w:rPr>
                <w:b/>
              </w:rPr>
              <w:t>备注</w:t>
            </w:r>
          </w:p>
        </w:tc>
        <w:tc>
          <w:tcPr>
            <w:tcW w:type="dxa" w:w="7488"/>
          </w:tcPr>
          <w:p>
            <w:r/>
          </w:p>
        </w:tc>
      </w:tr>
    </w:tbl>
    <w:p/>
    <w:p>
      <w:pPr>
        <w:pStyle w:val="Heading3"/>
      </w:pPr>
      <w:r>
        <w:t>VULN-011 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未进行反序列化专项测试。</w:t>
            </w:r>
          </w:p>
        </w:tc>
      </w:tr>
      <w:tr>
        <w:tc>
          <w:tcPr>
            <w:tcW w:type="dxa" w:w="1872"/>
            <w:shd w:val="clear" w:fill="F2F2F2"/>
          </w:tcPr>
          <w:p>
            <w:r>
              <w:rPr>
                <w:b/>
              </w:rPr>
              <w:t>修复建议</w:t>
            </w:r>
          </w:p>
        </w:tc>
        <w:tc>
          <w:tcPr>
            <w:tcW w:type="dxa" w:w="7488"/>
          </w:tcPr>
          <w:p>
            <w:r>
              <w:t>避免对不可信数据进行反序列化。</w:t>
            </w:r>
          </w:p>
        </w:tc>
      </w:tr>
      <w:tr>
        <w:tc>
          <w:tcPr>
            <w:tcW w:type="dxa" w:w="1872"/>
            <w:shd w:val="clear" w:fill="F2F2F2"/>
          </w:tcPr>
          <w:p>
            <w:r>
              <w:rPr>
                <w:b/>
              </w:rPr>
              <w:t>备注</w:t>
            </w:r>
          </w:p>
        </w:tc>
        <w:tc>
          <w:tcPr>
            <w:tcW w:type="dxa" w:w="7488"/>
          </w:tcPr>
          <w:p>
            <w:r/>
          </w:p>
        </w:tc>
      </w:tr>
    </w:tbl>
    <w:p/>
    <w:p>
      <w:pPr>
        <w:pStyle w:val="Heading3"/>
      </w:pPr>
      <w:r>
        <w:t>VULN-012 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已确认任务“新增”表单的“运行模式”提供 GLUE(Shell)、GLUE(Python)、GLUE(PHP)、GLUE(Nodejs)、GLUE(PowerShell)、GLUE(Java) 等脚本模式（见截图，前端 select 选项 GLUE_SHELL/GLUE_PYTHON/GLUE_POWERSHELL 等），管理员可编写脚本并由执行器在其主机上运行，设计上具备命令执行能力。本次测试未创建、未触发、未执行任何 GLUE/脚本任务，未构成已实测 RCE。结合会话弱点(SESS-003)与口令散列在客户端可见(Key-001)，该能力一旦被越权使用风险显著。</w:t>
            </w:r>
          </w:p>
        </w:tc>
      </w:tr>
      <w:tr>
        <w:tc>
          <w:tcPr>
            <w:tcW w:type="dxa" w:w="1872"/>
            <w:shd w:val="clear" w:fill="F2F2F2"/>
          </w:tcPr>
          <w:p>
            <w:r>
              <w:rPr>
                <w:b/>
              </w:rPr>
              <w:t>修复建议</w:t>
            </w:r>
          </w:p>
        </w:tc>
        <w:tc>
          <w:tcPr>
            <w:tcW w:type="dxa" w:w="7488"/>
          </w:tcPr>
          <w:p>
            <w:r>
              <w:t>GLUE 脚本模式按需最小化开放/加审批；严格保护管理员会话；执行器与管理台网络隔离。</w:t>
            </w:r>
          </w:p>
        </w:tc>
      </w:tr>
      <w:tr>
        <w:tc>
          <w:tcPr>
            <w:tcW w:type="dxa" w:w="1872"/>
            <w:shd w:val="clear" w:fill="F2F2F2"/>
          </w:tcPr>
          <w:p>
            <w:r>
              <w:rPr>
                <w:b/>
              </w:rPr>
              <w:t>备注</w:t>
            </w:r>
          </w:p>
        </w:tc>
        <w:tc>
          <w:tcPr>
            <w:tcW w:type="dxa" w:w="7488"/>
          </w:tcPr>
          <w:p>
            <w:r>
              <w:t>设计性风险，非本次实际利用结果。</w:t>
            </w:r>
          </w:p>
        </w:tc>
      </w:tr>
    </w:tbl>
    <w:p>
      <w:pPr>
        <w:jc w:val="center"/>
      </w:pPr>
      <w:r>
        <w:drawing>
          <wp:inline xmlns:a="http://schemas.openxmlformats.org/drawingml/2006/main" xmlns:pic="http://schemas.openxmlformats.org/drawingml/2006/picture">
            <wp:extent cx="4937760" cy="3703320"/>
            <wp:docPr id="5" name="Picture 5"/>
            <wp:cNvGraphicFramePr>
              <a:graphicFrameLocks noChangeAspect="1"/>
            </wp:cNvGraphicFramePr>
            <a:graphic>
              <a:graphicData uri="http://schemas.openxmlformats.org/drawingml/2006/picture">
                <pic:pic>
                  <pic:nvPicPr>
                    <pic:cNvPr id="0" name="fig_glue.png"/>
                    <pic:cNvPicPr/>
                  </pic:nvPicPr>
                  <pic:blipFill>
                    <a:blip r:embed="rId12"/>
                    <a:stretch>
                      <a:fillRect/>
                    </a:stretch>
                  </pic:blipFill>
                  <pic:spPr>
                    <a:xfrm>
                      <a:off x="0" y="0"/>
                      <a:ext cx="4937760" cy="3703320"/>
                    </a:xfrm>
                    <a:prstGeom prst="rect"/>
                  </pic:spPr>
                </pic:pic>
              </a:graphicData>
            </a:graphic>
          </wp:inline>
        </w:drawing>
      </w:r>
    </w:p>
    <w:p>
      <w:pPr>
        <w:jc w:val="center"/>
      </w:pPr>
      <w:r>
        <w:rPr>
          <w:i/>
          <w:sz w:val="18"/>
        </w:rPr>
        <w:t>图5：任务新增表单“运行模式”提供 GLUE 脚本执行选项</w:t>
      </w:r>
    </w:p>
    <w:p/>
    <w:p>
      <w:pPr>
        <w:pStyle w:val="Heading3"/>
      </w:pPr>
      <w:r>
        <w:t>VULN-013 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rPr>
                <w:b/>
                <w:color w:val="0070C0"/>
              </w:rPr>
              <w:t>低</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未在页面中发现隐藏链接/暗链或恶意外链。</w:t>
            </w:r>
          </w:p>
        </w:tc>
      </w:tr>
      <w:tr>
        <w:tc>
          <w:tcPr>
            <w:tcW w:type="dxa" w:w="1872"/>
            <w:shd w:val="clear" w:fill="F2F2F2"/>
          </w:tcPr>
          <w:p>
            <w:r>
              <w:rPr>
                <w:b/>
              </w:rPr>
              <w:t>修复建议</w:t>
            </w:r>
          </w:p>
        </w:tc>
        <w:tc>
          <w:tcPr>
            <w:tcW w:type="dxa" w:w="7488"/>
          </w:tcPr>
          <w:p>
            <w:r>
              <w:t>定期检测暗链。</w:t>
            </w:r>
          </w:p>
        </w:tc>
      </w:tr>
      <w:tr>
        <w:tc>
          <w:tcPr>
            <w:tcW w:type="dxa" w:w="1872"/>
            <w:shd w:val="clear" w:fill="F2F2F2"/>
          </w:tcPr>
          <w:p>
            <w:r>
              <w:rPr>
                <w:b/>
              </w:rPr>
              <w:t>备注</w:t>
            </w:r>
          </w:p>
        </w:tc>
        <w:tc>
          <w:tcPr>
            <w:tcW w:type="dxa" w:w="7488"/>
          </w:tcPr>
          <w:p>
            <w:r/>
          </w:p>
        </w:tc>
      </w:tr>
    </w:tbl>
    <w:p/>
    <w:p>
      <w:pPr>
        <w:pStyle w:val="Heading3"/>
      </w:pPr>
      <w:r>
        <w:t>VULN-014 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如Struts2远程命令执行、Spring远程命令执行、JBoss远程代码执行、Java反序列化命令执行等</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应用框架为 XXL-JOB 2.3.0（较旧版本），前端依赖 jQuery 3.4.1、AdminLTE/Bootstrap 3.x（EOL），框架/中间件层存在版本老化与已知公告风险。</w:t>
            </w:r>
          </w:p>
        </w:tc>
      </w:tr>
      <w:tr>
        <w:tc>
          <w:tcPr>
            <w:tcW w:type="dxa" w:w="1872"/>
            <w:shd w:val="clear" w:fill="F2F2F2"/>
          </w:tcPr>
          <w:p>
            <w:r>
              <w:rPr>
                <w:b/>
              </w:rPr>
              <w:t>修复建议</w:t>
            </w:r>
          </w:p>
        </w:tc>
        <w:tc>
          <w:tcPr>
            <w:tcW w:type="dxa" w:w="7488"/>
          </w:tcPr>
          <w:p>
            <w:r>
              <w:t>升级框架与前端组件至受支持版本。</w:t>
            </w:r>
          </w:p>
        </w:tc>
      </w:tr>
      <w:tr>
        <w:tc>
          <w:tcPr>
            <w:tcW w:type="dxa" w:w="1872"/>
            <w:shd w:val="clear" w:fill="F2F2F2"/>
          </w:tcPr>
          <w:p>
            <w:r>
              <w:rPr>
                <w:b/>
              </w:rPr>
              <w:t>备注</w:t>
            </w:r>
          </w:p>
        </w:tc>
        <w:tc>
          <w:tcPr>
            <w:tcW w:type="dxa" w:w="7488"/>
          </w:tcPr>
          <w:p>
            <w:r>
              <w:t>未对具体框架 CVE 做可利用性验证。</w:t>
            </w:r>
          </w:p>
        </w:tc>
      </w:tr>
    </w:tbl>
    <w:p/>
    <w:p>
      <w:pPr>
        <w:pStyle w:val="Heading3"/>
      </w:pPr>
      <w:r>
        <w:t>VULN-015 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未认证访问受保护资源（/jobinfo、/jobgroup、/user/pageList、/help 等）均被重定向至 /toLogin（HTTP 302），未发现可绕过认证直接访问的受保护接口。</w:t>
            </w:r>
          </w:p>
        </w:tc>
      </w:tr>
      <w:tr>
        <w:tc>
          <w:tcPr>
            <w:tcW w:type="dxa" w:w="1872"/>
            <w:shd w:val="clear" w:fill="F2F2F2"/>
          </w:tcPr>
          <w:p>
            <w:r>
              <w:rPr>
                <w:b/>
              </w:rPr>
              <w:t>修复建议</w:t>
            </w:r>
          </w:p>
        </w:tc>
        <w:tc>
          <w:tcPr>
            <w:tcW w:type="dxa" w:w="7488"/>
          </w:tcPr>
          <w:p>
            <w:r>
              <w:t>维持强制认证（会话层弱点另见 SESS-003）。</w:t>
            </w:r>
          </w:p>
        </w:tc>
      </w:tr>
      <w:tr>
        <w:tc>
          <w:tcPr>
            <w:tcW w:type="dxa" w:w="1872"/>
            <w:shd w:val="clear" w:fill="F2F2F2"/>
          </w:tcPr>
          <w:p>
            <w:r>
              <w:rPr>
                <w:b/>
              </w:rPr>
              <w:t>备注</w:t>
            </w:r>
          </w:p>
        </w:tc>
        <w:tc>
          <w:tcPr>
            <w:tcW w:type="dxa" w:w="7488"/>
          </w:tcPr>
          <w:p>
            <w:r/>
          </w:p>
        </w:tc>
      </w:tr>
    </w:tbl>
    <w:p/>
    <w:p>
      <w:pPr>
        <w:pStyle w:val="Heading3"/>
      </w:pPr>
      <w:r>
        <w:t>VULN-016 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C00000"/>
              </w:rPr>
              <w:t>严重</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.asp，.svn/.git等）可能包含敏感信息，如数据库连接字符串、API密钥、硬编码凭据等。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执行器管理页面明文暴露内网执行器地址 http://172.16.0.59:9999/、http://172.16.0.51:9999/（见截图“注册节点”弹窗），泄露内网拓扑与端口；叠加未认证的应用版本泄露(TRAN-001)。</w:t>
            </w:r>
          </w:p>
        </w:tc>
      </w:tr>
      <w:tr>
        <w:tc>
          <w:tcPr>
            <w:tcW w:type="dxa" w:w="1872"/>
            <w:shd w:val="clear" w:fill="F2F2F2"/>
          </w:tcPr>
          <w:p>
            <w:r>
              <w:rPr>
                <w:b/>
              </w:rPr>
              <w:t>修复建议</w:t>
            </w:r>
          </w:p>
        </w:tc>
        <w:tc>
          <w:tcPr>
            <w:tcW w:type="dxa" w:w="7488"/>
          </w:tcPr>
          <w:p>
            <w:r>
              <w:t>管理界面对内网地址做必要脱敏；严格限制管理台访问来源。</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703320"/>
            <wp:docPr id="6" name="Picture 6"/>
            <wp:cNvGraphicFramePr>
              <a:graphicFrameLocks noChangeAspect="1"/>
            </wp:cNvGraphicFramePr>
            <a:graphic>
              <a:graphicData uri="http://schemas.openxmlformats.org/drawingml/2006/picture">
                <pic:pic>
                  <pic:nvPicPr>
                    <pic:cNvPr id="0" name="fig_intranet_ip.png"/>
                    <pic:cNvPicPr/>
                  </pic:nvPicPr>
                  <pic:blipFill>
                    <a:blip r:embed="rId13"/>
                    <a:stretch>
                      <a:fillRect/>
                    </a:stretch>
                  </pic:blipFill>
                  <pic:spPr>
                    <a:xfrm>
                      <a:off x="0" y="0"/>
                      <a:ext cx="4937760" cy="3703320"/>
                    </a:xfrm>
                    <a:prstGeom prst="rect"/>
                  </pic:spPr>
                </pic:pic>
              </a:graphicData>
            </a:graphic>
          </wp:inline>
        </w:drawing>
      </w:r>
    </w:p>
    <w:p>
      <w:pPr>
        <w:jc w:val="center"/>
      </w:pPr>
      <w:r>
        <w:rPr>
          <w:i/>
          <w:sz w:val="18"/>
        </w:rPr>
        <w:t>图6：执行器“注册节点”明文暴露内网地址</w:t>
      </w:r>
    </w:p>
    <w:p/>
    <w:p>
      <w:pPr>
        <w:pStyle w:val="Heading3"/>
      </w:pPr>
      <w:r>
        <w:t>VULN-017 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rPr>
                <w:b/>
                <w:color w:val="0070C0"/>
              </w:rPr>
              <w:t>低</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多次登录失败响应时间稳定（约 0.6s），未观察到可用于账号枚举的明显时序差异（与 AUTH-005 统一错误提示一致）。</w:t>
            </w:r>
          </w:p>
        </w:tc>
      </w:tr>
      <w:tr>
        <w:tc>
          <w:tcPr>
            <w:tcW w:type="dxa" w:w="1872"/>
            <w:shd w:val="clear" w:fill="F2F2F2"/>
          </w:tcPr>
          <w:p>
            <w:r>
              <w:rPr>
                <w:b/>
              </w:rPr>
              <w:t>修复建议</w:t>
            </w:r>
          </w:p>
        </w:tc>
        <w:tc>
          <w:tcPr>
            <w:tcW w:type="dxa" w:w="7488"/>
          </w:tcPr>
          <w:p>
            <w:r>
              <w:t>维持恒定响应时间。</w:t>
            </w:r>
          </w:p>
        </w:tc>
      </w:tr>
      <w:tr>
        <w:tc>
          <w:tcPr>
            <w:tcW w:type="dxa" w:w="1872"/>
            <w:shd w:val="clear" w:fill="F2F2F2"/>
          </w:tcPr>
          <w:p>
            <w:r>
              <w:rPr>
                <w:b/>
              </w:rPr>
              <w:t>备注</w:t>
            </w:r>
          </w:p>
        </w:tc>
        <w:tc>
          <w:tcPr>
            <w:tcW w:type="dxa" w:w="7488"/>
          </w:tcPr>
          <w:p>
            <w:r/>
          </w:p>
        </w:tc>
      </w:tr>
    </w:tbl>
    <w:p/>
    <w:p>
      <w:pPr>
        <w:pStyle w:val="Heading3"/>
      </w:pPr>
      <w:r>
        <w:t>VULN-018 目录遍历安全测试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VULN-018</w:t>
            </w:r>
          </w:p>
        </w:tc>
      </w:tr>
      <w:tr>
        <w:tc>
          <w:tcPr>
            <w:tcW w:type="dxa" w:w="1872"/>
            <w:shd w:val="clear" w:fill="F2F2F2"/>
          </w:tcPr>
          <w:p>
            <w:r>
              <w:rPr>
                <w:b/>
              </w:rPr>
              <w:t>风险名称</w:t>
            </w:r>
          </w:p>
        </w:tc>
        <w:tc>
          <w:tcPr>
            <w:tcW w:type="dxa" w:w="7488"/>
          </w:tcPr>
          <w:p>
            <w:r>
              <w:t>目录遍历安全测试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应用应严格限制访问权限，仅允许访问预设的合法目录及文件，禁止跨目录访问系统敏感资源（如/etc/passwd、C:\Windows\system32、数据库配置文件等）。</w:t>
            </w:r>
          </w:p>
        </w:tc>
      </w:tr>
      <w:tr>
        <w:tc>
          <w:tcPr>
            <w:tcW w:type="dxa" w:w="1872"/>
            <w:shd w:val="clear" w:fill="F2F2F2"/>
          </w:tcPr>
          <w:p>
            <w:r>
              <w:rPr>
                <w:b/>
              </w:rPr>
              <w:t>风险影响</w:t>
            </w:r>
          </w:p>
        </w:tc>
        <w:tc>
          <w:tcPr>
            <w:tcW w:type="dxa" w:w="7488"/>
          </w:tcPr>
          <w:p>
            <w:r>
              <w:t>攻击者可遍历读取系统敏感文件，包括用户账号密码、数据库连接信息、配置文件、日志文件等，导致核心业务数据及隐私信息泄露。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 /toLogin 追加目录穿越序列（如 ../）等路径的探测均返回 302 跳转至登录页，未发现目录遍历/任意文件读取迹象。</w:t>
            </w:r>
          </w:p>
        </w:tc>
      </w:tr>
      <w:tr>
        <w:tc>
          <w:tcPr>
            <w:tcW w:type="dxa" w:w="1872"/>
            <w:shd w:val="clear" w:fill="F2F2F2"/>
          </w:tcPr>
          <w:p>
            <w:r>
              <w:rPr>
                <w:b/>
              </w:rPr>
              <w:t>修复建议</w:t>
            </w:r>
          </w:p>
        </w:tc>
        <w:tc>
          <w:tcPr>
            <w:tcW w:type="dxa" w:w="7488"/>
          </w:tcPr>
          <w:p>
            <w:r>
              <w:t>维持路径校验。</w:t>
            </w:r>
          </w:p>
        </w:tc>
      </w:tr>
      <w:tr>
        <w:tc>
          <w:tcPr>
            <w:tcW w:type="dxa" w:w="1872"/>
            <w:shd w:val="clear" w:fill="F2F2F2"/>
          </w:tcPr>
          <w:p>
            <w:r>
              <w:rPr>
                <w:b/>
              </w:rPr>
              <w:t>备注</w:t>
            </w:r>
          </w:p>
        </w:tc>
        <w:tc>
          <w:tcPr>
            <w:tcW w:type="dxa" w:w="7488"/>
          </w:tcPr>
          <w:p>
            <w:r/>
          </w:p>
        </w:tc>
      </w:tr>
    </w:tbl>
    <w:p/>
    <w:p>
      <w:pPr>
        <w:pStyle w:val="Heading3"/>
      </w:pPr>
      <w:r>
        <w:t>VULN-019 CRLF注入安全测试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VULN-019</w:t>
            </w:r>
          </w:p>
        </w:tc>
      </w:tr>
      <w:tr>
        <w:tc>
          <w:tcPr>
            <w:tcW w:type="dxa" w:w="1872"/>
            <w:shd w:val="clear" w:fill="F2F2F2"/>
          </w:tcPr>
          <w:p>
            <w:r>
              <w:rPr>
                <w:b/>
              </w:rPr>
              <w:t>风险名称</w:t>
            </w:r>
          </w:p>
        </w:tc>
        <w:tc>
          <w:tcPr>
            <w:tcW w:type="dxa" w:w="7488"/>
          </w:tcPr>
          <w:p>
            <w:r>
              <w:t>CRLF注入安全测试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应用应能抵御 CRLF 注入攻击，即检测用户输入中的 \r、\n 及相关编码形式（如 %0D、%0A URL 编码，\u000D、\u000A Unicode 编码）被有效过滤或转义，避免攻击者通过注入换行符篡改数据结构。</w:t>
            </w:r>
          </w:p>
        </w:tc>
      </w:tr>
      <w:tr>
        <w:tc>
          <w:tcPr>
            <w:tcW w:type="dxa" w:w="1872"/>
            <w:shd w:val="clear" w:fill="F2F2F2"/>
          </w:tcPr>
          <w:p>
            <w:r>
              <w:rPr>
                <w:b/>
              </w:rPr>
              <w:t>风险影响</w:t>
            </w:r>
          </w:p>
        </w:tc>
        <w:tc>
          <w:tcPr>
            <w:tcW w:type="dxa" w:w="7488"/>
          </w:tcPr>
          <w:p>
            <w:r>
              <w:t>攻击者可通过注入 CRLF 字符添加恶意 HTTP 头（如Set-Cookie: sessionid=attacker_session），篡改用户 Cookie 信息，劫持合法用户会话，获取账号权限；或注入Content-Length: 0截断响应，导致应用功能异常。</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未进行 CRLF 注入专项测试。</w:t>
            </w:r>
          </w:p>
        </w:tc>
      </w:tr>
      <w:tr>
        <w:tc>
          <w:tcPr>
            <w:tcW w:type="dxa" w:w="1872"/>
            <w:shd w:val="clear" w:fill="F2F2F2"/>
          </w:tcPr>
          <w:p>
            <w:r>
              <w:rPr>
                <w:b/>
              </w:rPr>
              <w:t>修复建议</w:t>
            </w:r>
          </w:p>
        </w:tc>
        <w:tc>
          <w:tcPr>
            <w:tcW w:type="dxa" w:w="7488"/>
          </w:tcPr>
          <w:p>
            <w:r>
              <w:t>过滤请求中的 CR/LF 字符。</w:t>
            </w:r>
          </w:p>
        </w:tc>
      </w:tr>
      <w:tr>
        <w:tc>
          <w:tcPr>
            <w:tcW w:type="dxa" w:w="1872"/>
            <w:shd w:val="clear" w:fill="F2F2F2"/>
          </w:tcPr>
          <w:p>
            <w:r>
              <w:rPr>
                <w:b/>
              </w:rPr>
              <w:t>备注</w:t>
            </w:r>
          </w:p>
        </w:tc>
        <w:tc>
          <w:tcPr>
            <w:tcW w:type="dxa" w:w="7488"/>
          </w:tcPr>
          <w:p>
            <w:r/>
          </w:p>
        </w:tc>
      </w:tr>
    </w:tbl>
    <w:p/>
    <w:p>
      <w:pPr>
        <w:pStyle w:val="Heading3"/>
      </w:pPr>
      <w:r>
        <w:t>VULN-020 URL重定向安全测试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VULN-020</w:t>
            </w:r>
          </w:p>
        </w:tc>
      </w:tr>
      <w:tr>
        <w:tc>
          <w:tcPr>
            <w:tcW w:type="dxa" w:w="1872"/>
            <w:shd w:val="clear" w:fill="F2F2F2"/>
          </w:tcPr>
          <w:p>
            <w:r>
              <w:rPr>
                <w:b/>
              </w:rPr>
              <w:t>风险名称</w:t>
            </w:r>
          </w:p>
        </w:tc>
        <w:tc>
          <w:tcPr>
            <w:tcW w:type="dxa" w:w="7488"/>
          </w:tcPr>
          <w:p>
            <w:r>
              <w:t>URL重定向安全测试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URL 重定向防护应覆盖登录回调、分享跳转、链接短缩、错误页重定向等场景，包含redirect_uri/url/target等参数。</w:t>
            </w:r>
          </w:p>
        </w:tc>
      </w:tr>
      <w:tr>
        <w:tc>
          <w:tcPr>
            <w:tcW w:type="dxa" w:w="1872"/>
            <w:shd w:val="clear" w:fill="F2F2F2"/>
          </w:tcPr>
          <w:p>
            <w:r>
              <w:rPr>
                <w:b/>
              </w:rPr>
              <w:t>风险影响</w:t>
            </w:r>
          </w:p>
        </w:tc>
        <w:tc>
          <w:tcPr>
            <w:tcW w:type="dxa" w:w="7488"/>
          </w:tcPr>
          <w:p>
            <w:r>
              <w:t>攻击者伪装信任域名跳转至恶意网站，窃取账号密码。</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登录后跳转目标固定为控制台首页，未发现用户可控的 url/redirect 开放重定向参数（测试 url 参数未产生外部跳转）。</w:t>
            </w:r>
          </w:p>
        </w:tc>
      </w:tr>
      <w:tr>
        <w:tc>
          <w:tcPr>
            <w:tcW w:type="dxa" w:w="1872"/>
            <w:shd w:val="clear" w:fill="F2F2F2"/>
          </w:tcPr>
          <w:p>
            <w:r>
              <w:rPr>
                <w:b/>
              </w:rPr>
              <w:t>修复建议</w:t>
            </w:r>
          </w:p>
        </w:tc>
        <w:tc>
          <w:tcPr>
            <w:tcW w:type="dxa" w:w="7488"/>
          </w:tcPr>
          <w:p>
            <w:r>
              <w:t>重定向目标做白名单校验。</w:t>
            </w:r>
          </w:p>
        </w:tc>
      </w:tr>
      <w:tr>
        <w:tc>
          <w:tcPr>
            <w:tcW w:type="dxa" w:w="1872"/>
            <w:shd w:val="clear" w:fill="F2F2F2"/>
          </w:tcPr>
          <w:p>
            <w:r>
              <w:rPr>
                <w:b/>
              </w:rPr>
              <w:t>备注</w:t>
            </w:r>
          </w:p>
        </w:tc>
        <w:tc>
          <w:tcPr>
            <w:tcW w:type="dxa" w:w="7488"/>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