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东风商用车MNO平台</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委托单位：东风商用车有限公司</w:t>
      </w:r>
    </w:p>
    <w:p>
      <w:pPr>
        <w:jc w:val="center"/>
      </w:pPr>
      <w:r>
        <w:rPr>
          <w:rFonts w:ascii="微软雅黑" w:hAnsi="微软雅黑" w:eastAsia="微软雅黑"/>
          <w:b w:val="0"/>
          <w:sz w:val="26"/>
        </w:rPr>
        <w:t>测试人员：安全测试组</w:t>
      </w:r>
    </w:p>
    <w:p>
      <w:pPr>
        <w:jc w:val="center"/>
      </w:pPr>
      <w:r>
        <w:rPr>
          <w:rFonts w:ascii="微软雅黑" w:hAnsi="微软雅黑" w:eastAsia="微软雅黑"/>
          <w:b w:val="0"/>
          <w:sz w:val="26"/>
        </w:rPr>
        <w:t>测试日期：2026年07月22日</w:t>
      </w:r>
    </w:p>
    <w:p/>
    <w:p/>
    <w:p/>
    <w:p/>
    <w:p/>
    <w:p/>
    <w:p>
      <w:pPr>
        <w:jc w:val="center"/>
      </w:pPr>
      <w:r>
        <w:rPr>
          <w:rFonts w:ascii="微软雅黑" w:hAnsi="微软雅黑" w:eastAsia="微软雅黑"/>
          <w:b w:val="0"/>
          <w:sz w:val="24"/>
        </w:rPr>
        <w:t>安全测试组</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https://mno.dfcv.com.cn/otportal/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10:2025》</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《GB/T 30276-2020 信息安全技术 网络安全漏洞管理规范》</w:t>
      </w:r>
    </w:p>
    <w:p>
      <w:pPr>
        <w:pStyle w:val="ListBullet"/>
      </w:pPr>
      <w:r>
        <w:t>《GB/T 40856-2021 车载信息交互系统信息安全技术要求及试验方法》</w:t>
      </w:r>
    </w:p>
    <w:p>
      <w:pPr>
        <w:pStyle w:val="ListBullet"/>
      </w:pPr>
      <w:r>
        <w:t>《汽车数据安全管理若干规定（试行）》</w:t>
      </w:r>
    </w:p>
    <w:p>
      <w:pPr>
        <w:pStyle w:val="ListBullet"/>
      </w:pPr>
      <w:r>
        <w:t>《UN R155 关于汽车网络安全的统一规定》</w:t>
      </w:r>
    </w:p>
    <w:p>
      <w:pPr>
        <w:pStyle w:val="ListBullet"/>
      </w:pPr>
      <w:r>
        <w:t>《UN R156 关于汽车软件升级的统一规定》</w:t>
      </w:r>
    </w:p>
    <w:p>
      <w:pPr>
        <w:pStyle w:val="ListBullet"/>
      </w:pPr>
      <w:r>
        <w:t>《中华人民共和国网络安全法》（2025 修正，2026-01-01 施行）</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东风商用车MNO平台，不涉及主机、配置等其他检测。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页面/JS/请求响应/CORS/HTTP方法观察取证</w:t>
            </w:r>
          </w:p>
        </w:tc>
      </w:tr>
      <w:tr>
        <w:tc>
          <w:tcPr>
            <w:tcW w:type="dxa" w:w="2880"/>
          </w:tcPr>
          <w:p>
            <w:r>
              <w:t>Playwright(连接已授权浏览器)</w:t>
            </w:r>
          </w:p>
        </w:tc>
        <w:tc>
          <w:tcPr>
            <w:tcW w:type="dxa" w:w="2880"/>
          </w:tcPr>
          <w:p>
            <w:r>
              <w:t>手工检测</w:t>
            </w:r>
          </w:p>
        </w:tc>
        <w:tc>
          <w:tcPr>
            <w:tcW w:type="dxa" w:w="2880"/>
          </w:tcPr>
          <w:p>
            <w:r>
              <w:t>认证态请求捕获与双账号越权对比</w:t>
            </w:r>
          </w:p>
        </w:tc>
      </w:tr>
      <w:tr>
        <w:tc>
          <w:tcPr>
            <w:tcW w:type="dxa" w:w="2880"/>
          </w:tcPr>
          <w:p>
            <w:r>
              <w:t>curl</w:t>
            </w:r>
          </w:p>
        </w:tc>
        <w:tc>
          <w:tcPr>
            <w:tcW w:type="dxa" w:w="2880"/>
          </w:tcPr>
          <w:p>
            <w:r>
              <w:t>手工检测</w:t>
            </w:r>
          </w:p>
        </w:tc>
        <w:tc>
          <w:tcPr>
            <w:tcW w:type="dxa" w:w="2880"/>
          </w:tcPr>
          <w:p>
            <w:r>
              <w:t>HTTP 请求构造与响应验证</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2026-07-22</w:t>
            </w:r>
          </w:p>
        </w:tc>
        <w:tc>
          <w:tcPr>
            <w:tcW w:type="dxa" w:w="2160"/>
          </w:tcPr>
          <w:p>
            <w:r>
              <w:t>V1.0</w:t>
            </w:r>
          </w:p>
        </w:tc>
        <w:tc>
          <w:tcPr>
            <w:tcW w:type="dxa" w:w="2160"/>
          </w:tcPr>
          <w:p>
            <w:r>
              <w:t>创建应用安全检测报告</w:t>
            </w:r>
          </w:p>
        </w:tc>
        <w:tc>
          <w:tcPr>
            <w:tcW w:type="dxa" w:w="2160"/>
          </w:tcPr>
          <w:p>
            <w:r>
              <w:t>安全测试组</w:t>
            </w:r>
          </w:p>
        </w:tc>
      </w:tr>
      <w:tr>
        <w:tc>
          <w:tcPr>
            <w:tcW w:type="dxa" w:w="2160"/>
          </w:tcPr>
          <w:p>
            <w:r>
              <w:t>2026-07-22</w:t>
            </w:r>
          </w:p>
        </w:tc>
        <w:tc>
          <w:tcPr>
            <w:tcW w:type="dxa" w:w="2160"/>
          </w:tcPr>
          <w:p>
            <w:r>
              <w:t>V1.1</w:t>
            </w:r>
          </w:p>
        </w:tc>
        <w:tc>
          <w:tcPr>
            <w:tcW w:type="dxa" w:w="2160"/>
          </w:tcPr>
          <w:p>
            <w:r>
              <w:t>补测(经授权生产侵入式低影响)：未测试项由38降至11，新增注入/未授权/防重放/会话固定/认证等实测结论</w:t>
            </w:r>
          </w:p>
        </w:tc>
        <w:tc>
          <w:tcPr>
            <w:tcW w:type="dxa" w:w="2160"/>
          </w:tcPr>
          <w:p>
            <w:r>
              <w:t>安全测试组</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东风商用车MNO平台</w:t>
            </w:r>
          </w:p>
        </w:tc>
        <w:tc>
          <w:tcPr>
            <w:tcW w:type="dxa" w:w="2160"/>
          </w:tcPr>
          <w:p>
            <w:r>
              <w:t>重要业务系统（车联网类，按等保三级要求）</w:t>
            </w:r>
          </w:p>
        </w:tc>
        <w:tc>
          <w:tcPr>
            <w:tcW w:type="dxa" w:w="2160"/>
          </w:tcPr>
          <w:p>
            <w:r>
              <w:t>https://mno.dfcv.com.cn/otportal/</w:t>
            </w:r>
          </w:p>
        </w:tc>
        <w:tc>
          <w:tcPr>
            <w:tcW w:type="dxa" w:w="2160"/>
          </w:tcPr>
          <w:p>
            <w:r>
              <w:t>内网访问（脱敏）</w:t>
            </w:r>
          </w:p>
        </w:tc>
      </w:tr>
    </w:tbl>
    <w:p>
      <w:pPr>
        <w:pStyle w:val="Heading2"/>
      </w:pPr>
      <w:r>
        <w:t>风险信息</w:t>
      </w:r>
    </w:p>
    <w:p>
      <w:r>
        <w:rPr>
          <w:i w:val="0"/>
        </w:rPr>
        <w:t>本次安全检测共完成 55 项检测内容，共计发现 11 个安全风险，其中高危风险 2 个、中危风险 9 个、低危风险 0 个（判定为“不符合”）。另有“符合” 32 项、“未测试” 11 项、“不涉及” 1 项。</w:t>
      </w:r>
    </w:p>
    <w:p>
      <w:r>
        <w:rPr>
          <w:i w:val="0"/>
        </w:rPr>
        <w:t>“未测试” 11 项系因测试条件受限（如缺少对照账号、生产环境非破坏性约束、经隧道无法验证等）无法完成验证，据实标记并说明原因；“不涉及” 1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3.2.1</w:t>
            </w:r>
          </w:p>
        </w:tc>
        <w:tc>
          <w:tcPr>
            <w:tcW w:type="dxa" w:w="1728"/>
          </w:tcPr>
          <w:p>
            <w:r>
              <w:t>应用软件及相关组件版本基线安全测试</w:t>
            </w:r>
          </w:p>
        </w:tc>
        <w:tc>
          <w:tcPr>
            <w:tcW w:type="dxa" w:w="1728"/>
          </w:tcPr>
          <w:p>
            <w:r>
              <w:rPr>
                <w:b/>
                <w:color w:val="E36C09"/>
              </w:rPr>
              <w:t>中</w:t>
            </w:r>
          </w:p>
        </w:tc>
        <w:tc>
          <w:tcPr>
            <w:tcW w:type="dxa" w:w="1728"/>
          </w:tcPr>
          <w:p>
            <w:r/>
          </w:p>
        </w:tc>
      </w:tr>
      <w:tr>
        <w:tc>
          <w:tcPr>
            <w:tcW w:type="dxa" w:w="1728"/>
          </w:tcPr>
          <w:p>
            <w:r>
              <w:t>2</w:t>
            </w:r>
          </w:p>
        </w:tc>
        <w:tc>
          <w:tcPr>
            <w:tcW w:type="dxa" w:w="1728"/>
          </w:tcPr>
          <w:p>
            <w:r>
              <w:t>3.4.2</w:t>
            </w:r>
          </w:p>
        </w:tc>
        <w:tc>
          <w:tcPr>
            <w:tcW w:type="dxa" w:w="1728"/>
          </w:tcPr>
          <w:p>
            <w:r>
              <w:t>防重放攻击、防篡改功能安全测试</w:t>
            </w:r>
          </w:p>
        </w:tc>
        <w:tc>
          <w:tcPr>
            <w:tcW w:type="dxa" w:w="1728"/>
          </w:tcPr>
          <w:p>
            <w:r>
              <w:rPr>
                <w:b/>
                <w:color w:val="C00000"/>
              </w:rPr>
              <w:t>高</w:t>
            </w:r>
          </w:p>
        </w:tc>
        <w:tc>
          <w:tcPr>
            <w:tcW w:type="dxa" w:w="1728"/>
          </w:tcPr>
          <w:p>
            <w:r/>
          </w:p>
        </w:tc>
      </w:tr>
      <w:tr>
        <w:tc>
          <w:tcPr>
            <w:tcW w:type="dxa" w:w="1728"/>
          </w:tcPr>
          <w:p>
            <w:r>
              <w:t>3</w:t>
            </w:r>
          </w:p>
        </w:tc>
        <w:tc>
          <w:tcPr>
            <w:tcW w:type="dxa" w:w="1728"/>
          </w:tcPr>
          <w:p>
            <w:r>
              <w:t>3.5.3</w:t>
            </w:r>
          </w:p>
        </w:tc>
        <w:tc>
          <w:tcPr>
            <w:tcW w:type="dxa" w:w="1728"/>
          </w:tcPr>
          <w:p>
            <w:r>
              <w:t>双因素验证功能安全测试</w:t>
            </w:r>
          </w:p>
        </w:tc>
        <w:tc>
          <w:tcPr>
            <w:tcW w:type="dxa" w:w="1728"/>
          </w:tcPr>
          <w:p>
            <w:r>
              <w:rPr>
                <w:b/>
                <w:color w:val="E36C09"/>
              </w:rPr>
              <w:t>中</w:t>
            </w:r>
          </w:p>
        </w:tc>
        <w:tc>
          <w:tcPr>
            <w:tcW w:type="dxa" w:w="1728"/>
          </w:tcPr>
          <w:p>
            <w:r/>
          </w:p>
        </w:tc>
      </w:tr>
      <w:tr>
        <w:tc>
          <w:tcPr>
            <w:tcW w:type="dxa" w:w="1728"/>
          </w:tcPr>
          <w:p>
            <w:r>
              <w:t>4</w:t>
            </w:r>
          </w:p>
        </w:tc>
        <w:tc>
          <w:tcPr>
            <w:tcW w:type="dxa" w:w="1728"/>
          </w:tcPr>
          <w:p>
            <w:r>
              <w:t>3.5.10</w:t>
            </w:r>
          </w:p>
        </w:tc>
        <w:tc>
          <w:tcPr>
            <w:tcW w:type="dxa" w:w="1728"/>
          </w:tcPr>
          <w:p>
            <w:r>
              <w:t>用户标识、角色标识安全测试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3.6.2</w:t>
            </w:r>
          </w:p>
        </w:tc>
        <w:tc>
          <w:tcPr>
            <w:tcW w:type="dxa" w:w="1728"/>
          </w:tcPr>
          <w:p>
            <w:r>
              <w:t>防越权安全测试</w:t>
            </w:r>
          </w:p>
        </w:tc>
        <w:tc>
          <w:tcPr>
            <w:tcW w:type="dxa" w:w="1728"/>
          </w:tcPr>
          <w:p>
            <w:r>
              <w:rPr>
                <w:b/>
                <w:color w:val="C00000"/>
              </w:rPr>
              <w:t>高</w:t>
            </w:r>
          </w:p>
        </w:tc>
        <w:tc>
          <w:tcPr>
            <w:tcW w:type="dxa" w:w="1728"/>
          </w:tcPr>
          <w:p>
            <w:r/>
          </w:p>
        </w:tc>
      </w:tr>
      <w:tr>
        <w:tc>
          <w:tcPr>
            <w:tcW w:type="dxa" w:w="1728"/>
          </w:tcPr>
          <w:p>
            <w:r>
              <w:t>6</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7</w:t>
            </w:r>
          </w:p>
        </w:tc>
        <w:tc>
          <w:tcPr>
            <w:tcW w:type="dxa" w:w="1728"/>
          </w:tcPr>
          <w:p>
            <w:r>
              <w:t>3.11.2</w:t>
            </w:r>
          </w:p>
        </w:tc>
        <w:tc>
          <w:tcPr>
            <w:tcW w:type="dxa" w:w="1728"/>
          </w:tcPr>
          <w:p>
            <w:r>
              <w:t>基础日志审计内容安全测试</w:t>
            </w:r>
          </w:p>
        </w:tc>
        <w:tc>
          <w:tcPr>
            <w:tcW w:type="dxa" w:w="1728"/>
          </w:tcPr>
          <w:p>
            <w:r>
              <w:rPr>
                <w:b/>
                <w:color w:val="E36C09"/>
              </w:rPr>
              <w:t>中</w:t>
            </w:r>
          </w:p>
        </w:tc>
        <w:tc>
          <w:tcPr>
            <w:tcW w:type="dxa" w:w="1728"/>
          </w:tcPr>
          <w:p>
            <w:r/>
          </w:p>
        </w:tc>
      </w:tr>
      <w:tr>
        <w:tc>
          <w:tcPr>
            <w:tcW w:type="dxa" w:w="1728"/>
          </w:tcPr>
          <w:p>
            <w:r>
              <w:t>8</w:t>
            </w:r>
          </w:p>
        </w:tc>
        <w:tc>
          <w:tcPr>
            <w:tcW w:type="dxa" w:w="1728"/>
          </w:tcPr>
          <w:p>
            <w:r>
              <w:t>3.12.2</w:t>
            </w:r>
          </w:p>
        </w:tc>
        <w:tc>
          <w:tcPr>
            <w:tcW w:type="dxa" w:w="1728"/>
          </w:tcPr>
          <w:p>
            <w:r>
              <w:t>数据脱敏展示安全测试</w:t>
            </w:r>
          </w:p>
        </w:tc>
        <w:tc>
          <w:tcPr>
            <w:tcW w:type="dxa" w:w="1728"/>
          </w:tcPr>
          <w:p>
            <w:r>
              <w:rPr>
                <w:b/>
                <w:color w:val="E36C09"/>
              </w:rPr>
              <w:t>中</w:t>
            </w:r>
          </w:p>
        </w:tc>
        <w:tc>
          <w:tcPr>
            <w:tcW w:type="dxa" w:w="1728"/>
          </w:tcPr>
          <w:p>
            <w:r/>
          </w:p>
        </w:tc>
      </w:tr>
      <w:tr>
        <w:tc>
          <w:tcPr>
            <w:tcW w:type="dxa" w:w="1728"/>
          </w:tcPr>
          <w:p>
            <w:r>
              <w:t>9</w:t>
            </w:r>
          </w:p>
        </w:tc>
        <w:tc>
          <w:tcPr>
            <w:tcW w:type="dxa" w:w="1728"/>
          </w:tcPr>
          <w:p>
            <w:r>
              <w:t>3.13.14</w:t>
            </w:r>
          </w:p>
        </w:tc>
        <w:tc>
          <w:tcPr>
            <w:tcW w:type="dxa" w:w="1728"/>
          </w:tcPr>
          <w:p>
            <w:r>
              <w:t>开发框架、中间件安全测试</w:t>
            </w:r>
          </w:p>
        </w:tc>
        <w:tc>
          <w:tcPr>
            <w:tcW w:type="dxa" w:w="1728"/>
          </w:tcPr>
          <w:p>
            <w:r>
              <w:rPr>
                <w:b/>
                <w:color w:val="E36C09"/>
              </w:rPr>
              <w:t>中</w:t>
            </w:r>
          </w:p>
        </w:tc>
        <w:tc>
          <w:tcPr>
            <w:tcW w:type="dxa" w:w="1728"/>
          </w:tcPr>
          <w:p>
            <w:r/>
          </w:p>
        </w:tc>
      </w:tr>
      <w:tr>
        <w:tc>
          <w:tcPr>
            <w:tcW w:type="dxa" w:w="1728"/>
          </w:tcPr>
          <w:p>
            <w:r>
              <w:t>10</w:t>
            </w:r>
          </w:p>
        </w:tc>
        <w:tc>
          <w:tcPr>
            <w:tcW w:type="dxa" w:w="1728"/>
          </w:tcPr>
          <w:p>
            <w:r>
              <w:t>3.13.15</w:t>
            </w:r>
          </w:p>
        </w:tc>
        <w:tc>
          <w:tcPr>
            <w:tcW w:type="dxa" w:w="1728"/>
          </w:tcPr>
          <w:p>
            <w:r>
              <w:t>未授权访问安全测试</w:t>
            </w:r>
          </w:p>
        </w:tc>
        <w:tc>
          <w:tcPr>
            <w:tcW w:type="dxa" w:w="1728"/>
          </w:tcPr>
          <w:p>
            <w:r>
              <w:rPr>
                <w:b/>
                <w:color w:val="E36C09"/>
              </w:rPr>
              <w:t>中</w:t>
            </w:r>
          </w:p>
        </w:tc>
        <w:tc>
          <w:tcPr>
            <w:tcW w:type="dxa" w:w="1728"/>
          </w:tcPr>
          <w:p>
            <w:r/>
          </w:p>
        </w:tc>
      </w:tr>
      <w:tr>
        <w:tc>
          <w:tcPr>
            <w:tcW w:type="dxa" w:w="1728"/>
          </w:tcPr>
          <w:p>
            <w:r>
              <w:t>11</w:t>
            </w:r>
          </w:p>
        </w:tc>
        <w:tc>
          <w:tcPr>
            <w:tcW w:type="dxa" w:w="1728"/>
          </w:tcPr>
          <w:p>
            <w:r>
              <w:t>3.13.16</w:t>
            </w:r>
          </w:p>
        </w:tc>
        <w:tc>
          <w:tcPr>
            <w:tcW w:type="dxa" w:w="1728"/>
          </w:tcPr>
          <w:p>
            <w:r>
              <w:t>敏感信息泄露安全测试</w:t>
            </w:r>
          </w:p>
        </w:tc>
        <w:tc>
          <w:tcPr>
            <w:tcW w:type="dxa" w:w="1728"/>
          </w:tcPr>
          <w:p>
            <w:r>
              <w:rPr>
                <w:b/>
                <w:color w:val="E36C09"/>
              </w:rPr>
              <w:t>中</w:t>
            </w:r>
          </w:p>
        </w:tc>
        <w:tc>
          <w:tcPr>
            <w:tcW w:type="dxa" w:w="1728"/>
          </w:tcPr>
          <w:p>
            <w:r/>
          </w:p>
        </w:tc>
      </w:tr>
    </w:tbl>
    <w:p>
      <w:r>
        <w:rPr>
          <w:i/>
        </w:rPr>
        <w:t>注：上表仅列出本次判定为“不符合”的 11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本次经授权内网穿透HTTP隧道访问目标，仅应用HTTPS(443)业务端口对外可达，无法在客户端侧对目标主机开展完整端口扫描与管理端隔离核查，据实标记未测试。建议在目标网络内部按等保三级要求核查高危端口暴露、业务端/管理端端口分离及管理端IP白名单限制。</w:t>
            </w:r>
          </w:p>
        </w:tc>
      </w:tr>
      <w:tr>
        <w:tc>
          <w:tcPr>
            <w:tcW w:type="dxa" w:w="1872"/>
            <w:shd w:val="clear" w:fill="F2F2F2"/>
          </w:tcPr>
          <w:p>
            <w:r>
              <w:rPr>
                <w:b/>
              </w:rPr>
              <w:t>修复建议</w:t>
            </w:r>
          </w:p>
        </w:tc>
        <w:tc>
          <w:tcPr>
            <w:tcW w:type="dxa" w:w="7488"/>
          </w:tcPr>
          <w:p>
            <w:r>
              <w:t>在目标网络边界完成端口暴露面梳理：关闭非必要高危端口，管理端与业务端端口分离，管理端配置IP/IP段白名单访问控制。</w:t>
            </w:r>
          </w:p>
        </w:tc>
      </w:tr>
      <w:tr>
        <w:tc>
          <w:tcPr>
            <w:tcW w:type="dxa" w:w="1872"/>
            <w:shd w:val="clear" w:fill="F2F2F2"/>
          </w:tcPr>
          <w:p>
            <w:r>
              <w:rPr>
                <w:b/>
              </w:rPr>
              <w:t>备注</w:t>
            </w:r>
          </w:p>
        </w:tc>
        <w:tc>
          <w:tcPr>
            <w:tcW w:type="dxa" w:w="7488"/>
          </w:tcPr>
          <w:p>
            <w:r>
              <w:t>受隧道访问方式限制，无法内网侧扫描</w:t>
            </w:r>
          </w:p>
        </w:tc>
      </w:tr>
    </w:tbl>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探测发现网关路径下存在springfox-swagger-ui 2.9.2静态资源(发布于2018年)可被未授权访问，该版本较旧且已停止维护。后端响应Server头仅显示'elb'，但结合swagger-ui暴露的组件版本信息，可确认部分组件未及时更新至安全基线版本。</w:t>
            </w:r>
          </w:p>
        </w:tc>
      </w:tr>
      <w:tr>
        <w:tc>
          <w:tcPr>
            <w:tcW w:type="dxa" w:w="1872"/>
            <w:shd w:val="clear" w:fill="F2F2F2"/>
          </w:tcPr>
          <w:p>
            <w:r>
              <w:rPr>
                <w:b/>
              </w:rPr>
              <w:t>修复建议</w:t>
            </w:r>
          </w:p>
        </w:tc>
        <w:tc>
          <w:tcPr>
            <w:tcW w:type="dxa" w:w="7488"/>
          </w:tcPr>
          <w:p>
            <w:r>
              <w:t>建立组件资产清单与版本基线，定期核对并升级开发框架、中间件、第三方库至安全版本；清理不必要的swagger/调试组件。</w:t>
            </w:r>
          </w:p>
        </w:tc>
      </w:tr>
      <w:tr>
        <w:tc>
          <w:tcPr>
            <w:tcW w:type="dxa" w:w="1872"/>
            <w:shd w:val="clear" w:fill="F2F2F2"/>
          </w:tcPr>
          <w:p>
            <w:r>
              <w:rPr>
                <w:b/>
              </w:rPr>
              <w:t>备注</w:t>
            </w:r>
          </w:p>
        </w:tc>
        <w:tc>
          <w:tcPr>
            <w:tcW w:type="dxa" w:w="7488"/>
          </w:tcPr>
          <w:p>
            <w:r>
              <w:t>springfox-swagger-ui 2.9.2可未授权访问</w:t>
            </w:r>
          </w:p>
        </w:tc>
      </w:tr>
    </w:tbl>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下载审查前端打包JS(main/libs/antd共约2.8MB)，使用React+Ant Design+js-xss等主流库的生产构建版本，抽样审查未发现引用已知高危版本前端组件(如存在已公开RCE/XSS CVE的jQuery&lt;3.5等)。前端依赖为webpack打包压缩，版本号未明文暴露。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打包混淆代码，逐库精确版本比对受限</w:t>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化审查前端JS源码(main.81cc6ee3.js等)，搜索API密钥、硬编码Token、AK/SK、密码字面量等关键词，未发现硬编码敏感信息。登录加密公钥由服务端/auth/enc接口动态下发而非前端硬编码，内部接口地址使用相对路径/代理前缀。</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检查后端API接口HTTP响应头：Server头仅显示'elb'(无具体版本号)，未见X-Powered-By、X-AspNet-Version等版本泄露头。前端静态资源同样未在响应头中暴露服务器/中间件版本信息。(注：swagger-ui组件暴露springfox版本，归入VULN-016。)</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Server头仅'elb'，不含版本</w:t>
            </w:r>
          </w:p>
        </w:tc>
      </w:tr>
    </w:tbl>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以相同accessToken和请求体对受保护接口(如/otuser/resource/tree)重复发送完全相同的请求，两次均返回200且响应内容一致，未见任何一次性随机数(nonce)、请求签名或时间戳校验拒绝机制。请求中虽携带timestamp参数(如loginInfo)但服务端未做签名绑定验证，攻击者截获请求后可任意重放。作为车联网三级系统，缺少请求/响应双向防篡改防重放机制属高风险。</w:t>
            </w:r>
          </w:p>
        </w:tc>
      </w:tr>
      <w:tr>
        <w:tc>
          <w:tcPr>
            <w:tcW w:type="dxa" w:w="1872"/>
            <w:shd w:val="clear" w:fill="F2F2F2"/>
          </w:tcPr>
          <w:p>
            <w:r>
              <w:rPr>
                <w:b/>
              </w:rPr>
              <w:t>修复建议</w:t>
            </w:r>
          </w:p>
        </w:tc>
        <w:tc>
          <w:tcPr>
            <w:tcW w:type="dxa" w:w="7488"/>
          </w:tcPr>
          <w:p>
            <w:r>
              <w:t>对核心接口引入签名+时间戳+随机数(nonce)机制，服务端强制校验签名有效性与时间窗口，实现请求/响应双向防篡改与防重放；对隐藏域参数做服务端完整性校验。</w:t>
            </w:r>
          </w:p>
        </w:tc>
      </w:tr>
      <w:tr>
        <w:tc>
          <w:tcPr>
            <w:tcW w:type="dxa" w:w="1872"/>
            <w:shd w:val="clear" w:fill="F2F2F2"/>
          </w:tcPr>
          <w:p>
            <w:r>
              <w:rPr>
                <w:b/>
              </w:rPr>
              <w:t>备注</w:t>
            </w:r>
          </w:p>
        </w:tc>
        <w:tc>
          <w:tcPr>
            <w:tcW w:type="dxa" w:w="7488"/>
          </w:tcPr>
          <w:p>
            <w:r>
              <w:t>车联网/三级系统按要求定级为高</w:t>
            </w:r>
          </w:p>
        </w:tc>
      </w:tr>
    </w:tbl>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登录认证包含图形验证码；实测验证码由服务端校验(错误验证码登录被拒，返回'请输入正确的图形验证码')，且每次认证后(无论成功或失败)验证码自动刷新；空验证码无法绕过。符合验证码功能安全要求。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账号由管理员后台开通，未见开放自助注册入口(无注册按钮/链接)。前端存在密码找回入口(手机号+短信验证码找回流程)。改密界面前端校验密码复杂度(9-16位，含大小写/数字/特殊)。系统通过IAM后台管理账号生命周期。</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改密后是否强制重新登录、最近5次密码重复检测未单独验证</w:t>
            </w:r>
          </w:p>
        </w:tc>
      </w:tr>
    </w:tbl>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登录流程仅要求账号+密码+图形验证码，图形验证码属人机验证而非独立的第二认证因素(OTP/短信/硬件令牌)。密码找回流程使用手机短信验证码，但登录本身未接入双因素认证。作为车联网三级系统，应按要求接入IAM并开启双因素验证。</w:t>
            </w:r>
          </w:p>
        </w:tc>
      </w:tr>
      <w:tr>
        <w:tc>
          <w:tcPr>
            <w:tcW w:type="dxa" w:w="1872"/>
            <w:shd w:val="clear" w:fill="F2F2F2"/>
          </w:tcPr>
          <w:p>
            <w:r>
              <w:rPr>
                <w:b/>
              </w:rPr>
              <w:t>修复建议</w:t>
            </w:r>
          </w:p>
        </w:tc>
        <w:tc>
          <w:tcPr>
            <w:tcW w:type="dxa" w:w="7488"/>
          </w:tcPr>
          <w:p>
            <w:r>
              <w:t>业务系统接入IAM并开启双因素认证(如短信OTP/TOTP/硬件令牌)；短信验证码满足频控(60s)、有效期(120s)、位数(≥6位)、一次性及后台发送要求。</w:t>
            </w:r>
          </w:p>
        </w:tc>
      </w:tr>
      <w:tr>
        <w:tc>
          <w:tcPr>
            <w:tcW w:type="dxa" w:w="1872"/>
            <w:shd w:val="clear" w:fill="F2F2F2"/>
          </w:tcPr>
          <w:p>
            <w:r>
              <w:rPr>
                <w:b/>
              </w:rPr>
              <w:t>备注</w:t>
            </w:r>
          </w:p>
        </w:tc>
        <w:tc>
          <w:tcPr>
            <w:tcW w:type="dxa" w:w="7488"/>
          </w:tcPr>
          <w:p>
            <w:r>
              <w:t>图形验证码非双因素第二因子</w:t>
            </w:r>
          </w:p>
        </w:tc>
      </w:tr>
    </w:tbl>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使用既有测试账号(非初始密码)登录，未涉及初始化密码首次登录场景(管理员已改密)，无法验证首次登录强制改密策略是否生效，据实标记未测试。建议在实际新开通账号时核实首次登录是否强制改密。</w:t>
            </w:r>
          </w:p>
        </w:tc>
      </w:tr>
      <w:tr>
        <w:tc>
          <w:tcPr>
            <w:tcW w:type="dxa" w:w="1872"/>
            <w:shd w:val="clear" w:fill="F2F2F2"/>
          </w:tcPr>
          <w:p>
            <w:r>
              <w:rPr>
                <w:b/>
              </w:rPr>
              <w:t>修复建议</w:t>
            </w:r>
          </w:p>
        </w:tc>
        <w:tc>
          <w:tcPr>
            <w:tcW w:type="dxa" w:w="7488"/>
          </w:tcPr>
          <w:p>
            <w:r>
              <w:t>初始密码首次登录强制修改，密码满足复杂度要求；三级系统对长期未登录初始账号自动锁定并记录日志。</w:t>
            </w:r>
          </w:p>
        </w:tc>
      </w:tr>
      <w:tr>
        <w:tc>
          <w:tcPr>
            <w:tcW w:type="dxa" w:w="1872"/>
            <w:shd w:val="clear" w:fill="F2F2F2"/>
          </w:tcPr>
          <w:p>
            <w:r>
              <w:rPr>
                <w:b/>
              </w:rPr>
              <w:t>备注</w:t>
            </w:r>
          </w:p>
        </w:tc>
        <w:tc>
          <w:tcPr>
            <w:tcW w:type="dxa" w:w="7488"/>
          </w:tcPr>
          <w:p>
            <w:r>
              <w:t>无初始密码账号可供测试</w:t>
            </w:r>
          </w:p>
        </w:tc>
      </w:tr>
    </w:tbl>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分别使用错误密码(用户名存在)和完全不存在的用户名进行登录测试，系统统一返回'用户名或密码错误，请重试'(业务码004_003)，提示语句完全一致，无法通过登录失败提示区分账号是否存在，有效防止用户名枚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错误密码/不存在用户返回相同消息</w:t>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在有限的登录失败尝试(2次连续错误密码)内未观察到账号锁定提示或行为；但为避免锁定生产管理员账号影响业务运营，未继续做完整多次(5次以上)失败锁定阈值测试，据实标记未测试。建议在测试环境中验证5次及以上失败是否触发锁定及自动解锁。</w:t>
            </w:r>
          </w:p>
        </w:tc>
      </w:tr>
      <w:tr>
        <w:tc>
          <w:tcPr>
            <w:tcW w:type="dxa" w:w="1872"/>
            <w:shd w:val="clear" w:fill="F2F2F2"/>
          </w:tcPr>
          <w:p>
            <w:r>
              <w:rPr>
                <w:b/>
              </w:rPr>
              <w:t>修复建议</w:t>
            </w:r>
          </w:p>
        </w:tc>
        <w:tc>
          <w:tcPr>
            <w:tcW w:type="dxa" w:w="7488"/>
          </w:tcPr>
          <w:p>
            <w:r>
              <w:t>设置账号多次登录失败锁定(建议5次)并定时自动解锁；三级系统对多次验证码错误联动锁定。</w:t>
            </w:r>
          </w:p>
        </w:tc>
      </w:tr>
      <w:tr>
        <w:tc>
          <w:tcPr>
            <w:tcW w:type="dxa" w:w="1872"/>
            <w:shd w:val="clear" w:fill="F2F2F2"/>
          </w:tcPr>
          <w:p>
            <w:r>
              <w:rPr>
                <w:b/>
              </w:rPr>
              <w:t>备注</w:t>
            </w:r>
          </w:p>
        </w:tc>
        <w:tc>
          <w:tcPr>
            <w:tcW w:type="dxa" w:w="7488"/>
          </w:tcPr>
          <w:p>
            <w:r>
              <w:t>2次失败未触发锁定，完整阈值测试回避</w:t>
            </w:r>
          </w:p>
        </w:tc>
      </w:tr>
    </w:tbl>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登录页密码输入框为掩码(type=password)显示，输入口令不以明文呈现，符合要求。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前端改密/注册模块强制密码策略：长度9-16位，需包含大小写字母、数字和特殊字符(至少三种)；不满足时前端校验提示错误，无法提交。当前测试账号密码均满足复杂度要求(大写+小写+数字+特殊字符，长度≥9)。</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前端校验确认，服务端校验同步(改密提交不通过时提示)</w:t>
            </w:r>
          </w:p>
        </w:tc>
      </w:tr>
    </w:tbl>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长期不登录自动锁定策略(半年)需长周期观测或后台策略配置核查，本次短期测试无法验证，据实标记未测试。</w:t>
            </w:r>
          </w:p>
        </w:tc>
      </w:tr>
      <w:tr>
        <w:tc>
          <w:tcPr>
            <w:tcW w:type="dxa" w:w="1872"/>
            <w:shd w:val="clear" w:fill="F2F2F2"/>
          </w:tcPr>
          <w:p>
            <w:r>
              <w:rPr>
                <w:b/>
              </w:rPr>
              <w:t>修复建议</w:t>
            </w:r>
          </w:p>
        </w:tc>
        <w:tc>
          <w:tcPr>
            <w:tcW w:type="dxa" w:w="7488"/>
          </w:tcPr>
          <w:p>
            <w:r>
              <w:t>对半年未登录账号自动锁定，定期清理僵尸/幽灵账号。</w:t>
            </w:r>
          </w:p>
        </w:tc>
      </w:tr>
      <w:tr>
        <w:tc>
          <w:tcPr>
            <w:tcW w:type="dxa" w:w="1872"/>
            <w:shd w:val="clear" w:fill="F2F2F2"/>
          </w:tcPr>
          <w:p>
            <w:r>
              <w:rPr>
                <w:b/>
              </w:rPr>
              <w:t>备注</w:t>
            </w:r>
          </w:p>
        </w:tc>
        <w:tc>
          <w:tcPr>
            <w:tcW w:type="dxa" w:w="7488"/>
          </w:tcPr>
          <w:p>
            <w:r>
              <w:t>需长周期或后台配置核查</w:t>
            </w:r>
          </w:p>
        </w:tc>
      </w:tr>
    </w:tbl>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实测认证态接口在请求参数中直接携带用户标识(userId)进行交互(如获取登录信息GET /otuser/user/loginInfo?userId=xxx)。经验证，loginInfo接口实际按令牌绑定返回当前用户信息(传入他人userId时仍返回自身数据，未越权)，说明部分接口后端已做令牌关联。但userId仍在传输中明文暴露且可被遍历，不符合'不应在传输中带用户标识'的要求。</w:t>
            </w:r>
          </w:p>
        </w:tc>
      </w:tr>
      <w:tr>
        <w:tc>
          <w:tcPr>
            <w:tcW w:type="dxa" w:w="1872"/>
            <w:shd w:val="clear" w:fill="F2F2F2"/>
          </w:tcPr>
          <w:p>
            <w:r>
              <w:rPr>
                <w:b/>
              </w:rPr>
              <w:t>修复建议</w:t>
            </w:r>
          </w:p>
        </w:tc>
        <w:tc>
          <w:tcPr>
            <w:tcW w:type="dxa" w:w="7488"/>
          </w:tcPr>
          <w:p>
            <w:r>
              <w:t>接口不在传输中携带可遍历的用户标识；以令牌在服务端关联当前用户身份并强制做对象归属校验；确需传参时提供必要性说明并做严格授权校验。</w:t>
            </w:r>
          </w:p>
        </w:tc>
      </w:tr>
      <w:tr>
        <w:tc>
          <w:tcPr>
            <w:tcW w:type="dxa" w:w="1872"/>
            <w:shd w:val="clear" w:fill="F2F2F2"/>
          </w:tcPr>
          <w:p>
            <w:r>
              <w:rPr>
                <w:b/>
              </w:rPr>
              <w:t>备注</w:t>
            </w:r>
          </w:p>
        </w:tc>
        <w:tc>
          <w:tcPr>
            <w:tcW w:type="dxa" w:w="7488"/>
          </w:tcPr>
          <w:p>
            <w:r>
              <w:t>loginInfo按令牌绑定(正面)，但userId仍在传输中暴露</w:t>
            </w:r>
          </w:p>
        </w:tc>
      </w:tr>
    </w:tbl>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系统具备角色/资源权限管理功能(system/role、system/resource)，至少区分管理员与普通用户两类角色，前端按角色展示不同菜单；具备操作审计功能(/otlog/optlog)；管理员可管理用户列表。基础权限控制能力存在。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账号冻结功能未单独验证</w:t>
            </w:r>
          </w:p>
        </w:tc>
      </w:tr>
    </w:tbl>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双账号对比测试确认存在功能级纵向越权：普通测试用户(zhanchongtest/测试角色)登录后，前端虽隐藏系统管理菜单，但使用其自身令牌直接调用管理类API均返回200并成功获取数据——包括：(1)权限资源树POST /otuser/resource/tree(返回完整菜单结构)；(2)角色列表POST /otuser/role/page(返回3条角色)；(3)用户列表POST /otuser/user/queryUserList(返回2条用户含账号/角色/企业信息)。后端未对上述管理类接口做有效的角色/功能级授权校验，安全边界错误地仅依赖前端菜单隐藏。SIM业务数据对普通用户显示'暂无数据'说明部分数据范围隔离有效，但功能级接口鉴权整体缺失属高危越权。</w:t>
            </w:r>
          </w:p>
        </w:tc>
      </w:tr>
      <w:tr>
        <w:tc>
          <w:tcPr>
            <w:tcW w:type="dxa" w:w="1872"/>
            <w:shd w:val="clear" w:fill="F2F2F2"/>
          </w:tcPr>
          <w:p>
            <w:r>
              <w:rPr>
                <w:b/>
              </w:rPr>
              <w:t>修复建议</w:t>
            </w:r>
          </w:p>
        </w:tc>
        <w:tc>
          <w:tcPr>
            <w:tcW w:type="dxa" w:w="7488"/>
          </w:tcPr>
          <w:p>
            <w:r>
              <w:t>在后端对每个受保护接口强制做基于角色/权限的服务端鉴权(功能级+对象级)，不得以前端隐藏替代；对管理类接口默认拒绝、白名单授权；补充越权访问告警与审计。</w:t>
            </w:r>
          </w:p>
        </w:tc>
      </w:tr>
      <w:tr>
        <w:tc>
          <w:tcPr>
            <w:tcW w:type="dxa" w:w="1872"/>
            <w:shd w:val="clear" w:fill="F2F2F2"/>
          </w:tcPr>
          <w:p>
            <w:r>
              <w:rPr>
                <w:b/>
              </w:rPr>
              <w:t>备注</w:t>
            </w:r>
          </w:p>
        </w:tc>
        <w:tc>
          <w:tcPr>
            <w:tcW w:type="dxa" w:w="7488"/>
          </w:tcPr>
          <w:p>
            <w:r>
              <w:t>核心高危发现——confirmed resource/tree、role/page、queryUserList越权</w:t>
            </w:r>
          </w:p>
        </w:tc>
      </w:tr>
    </w:tbl>
    <w:p>
      <w:pPr>
        <w:jc w:val="center"/>
      </w:pPr>
      <w:r>
        <w:drawing>
          <wp:inline xmlns:a="http://schemas.openxmlformats.org/drawingml/2006/main" xmlns:pic="http://schemas.openxmlformats.org/drawingml/2006/picture">
            <wp:extent cx="4937760" cy="2777490"/>
            <wp:docPr id="1" name="Picture 1"/>
            <wp:cNvGraphicFramePr>
              <a:graphicFrameLocks noChangeAspect="1"/>
            </wp:cNvGraphicFramePr>
            <a:graphic>
              <a:graphicData uri="http://schemas.openxmlformats.org/drawingml/2006/picture">
                <pic:pic>
                  <pic:nvPicPr>
                    <pic:cNvPr id="0" name="fig02_ordinary_user_ui.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图1：普通测试用户登录后界面(管理菜单前端隐藏，但管理API可越权调用)</w:t>
      </w:r>
    </w:p>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应用采用自定义请求头(accessToken)携带令牌，令牌持久化存储于浏览器localStorage(persist:root)，可被同源JavaScript直接读取，缺少Cookie的HttpOnly保护语义；同时响应中未见HSTS、CSP、X-Frame-Options、X-Content-Type-Options、Referrer-Policy等安全响应头。令牌一旦在XSS场景下被读取将导致会话被盗用(本次未确认存在可利用XSS，按令牌存储与防护缺失定级中)。</w:t>
            </w:r>
          </w:p>
        </w:tc>
      </w:tr>
      <w:tr>
        <w:tc>
          <w:tcPr>
            <w:tcW w:type="dxa" w:w="1872"/>
            <w:shd w:val="clear" w:fill="F2F2F2"/>
          </w:tcPr>
          <w:p>
            <w:r>
              <w:rPr>
                <w:b/>
              </w:rPr>
              <w:t>修复建议</w:t>
            </w:r>
          </w:p>
        </w:tc>
        <w:tc>
          <w:tcPr>
            <w:tcW w:type="dxa" w:w="7488"/>
          </w:tcPr>
          <w:p>
            <w:r>
              <w:t>会话令牌优先使用HttpOnly+Secure的Cookie承载，或在客户端最小化令牌暴露面；补齐HSTS、CSP、X-Frame-Options、X-Content-Type-Options、Referrer-Policy等安全响应头。</w:t>
            </w:r>
          </w:p>
        </w:tc>
      </w:tr>
      <w:tr>
        <w:tc>
          <w:tcPr>
            <w:tcW w:type="dxa" w:w="1872"/>
            <w:shd w:val="clear" w:fill="F2F2F2"/>
          </w:tcPr>
          <w:p>
            <w:r>
              <w:rPr>
                <w:b/>
              </w:rPr>
              <w:t>备注</w:t>
            </w:r>
          </w:p>
        </w:tc>
        <w:tc>
          <w:tcPr>
            <w:tcW w:type="dxa" w:w="7488"/>
          </w:tcPr>
          <w:p>
            <w:r>
              <w:t>令牌存localStorage；与XSS联动未验证不夸大</w:t>
            </w:r>
          </w:p>
        </w:tc>
      </w:tr>
    </w:tbl>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以恶意Origin构造跨域请求测试，服务端未返回允许恶意源的CORS放行头，跨域源验证收敛，未观察到Access-Control-Allow-Origin通配或反射恶意Origin的问题。</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实测登出后复用登出前令牌调用受保护接口被拒(返回'登录已过期')，会话在登出后即时失效，符合要求。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会话空闲超时(建议30分钟)需长时间无操作观测。令牌有绝对过期时间(expiresIn约9小时后)，但30分钟闲置超时机制需实际等待验证，本次未开展30分钟空闲等待测试，据实标记未测试。</w:t>
            </w:r>
          </w:p>
        </w:tc>
      </w:tr>
      <w:tr>
        <w:tc>
          <w:tcPr>
            <w:tcW w:type="dxa" w:w="1872"/>
            <w:shd w:val="clear" w:fill="F2F2F2"/>
          </w:tcPr>
          <w:p>
            <w:r>
              <w:rPr>
                <w:b/>
              </w:rPr>
              <w:t>修复建议</w:t>
            </w:r>
          </w:p>
        </w:tc>
        <w:tc>
          <w:tcPr>
            <w:tcW w:type="dxa" w:w="7488"/>
          </w:tcPr>
          <w:p>
            <w:r>
              <w:t>实现会话空闲超时(建议≤30分钟)，超时后强制销毁会话要求重新认证。</w:t>
            </w:r>
          </w:p>
        </w:tc>
      </w:tr>
      <w:tr>
        <w:tc>
          <w:tcPr>
            <w:tcW w:type="dxa" w:w="1872"/>
            <w:shd w:val="clear" w:fill="F2F2F2"/>
          </w:tcPr>
          <w:p>
            <w:r>
              <w:rPr>
                <w:b/>
              </w:rPr>
              <w:t>备注</w:t>
            </w:r>
          </w:p>
        </w:tc>
        <w:tc>
          <w:tcPr>
            <w:tcW w:type="dxa" w:w="7488"/>
          </w:tcPr>
          <w:p>
            <w:r>
              <w:t>绝对过期存在(~9h)；闲置超时未逐分钟验证</w:t>
            </w:r>
          </w:p>
        </w:tc>
      </w:tr>
    </w:tbl>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会话令牌由服务端登录接口签发(UUID格式，如xxxxxxxx-xxxx-xxxx-xxxx-xxxxxxxxxxxx)，非客户端生成；多次登录生成不同UUID，具备唯一性和随机性；未观察到可预测的会话标识生成方式。</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验证登录前浏览器无有效令牌(localStorage中access为空)，每次成功认证后服务端签发全新accessToken(UUID)——管理员登录和普通用户登录获得完全不同的令牌值。权限级别变化(不同角色登录)时令牌重新生成，旧会话标识不复用，符合防会话固定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每次登录签发新UUID令牌</w:t>
            </w:r>
          </w:p>
        </w:tc>
      </w:tr>
    </w:tbl>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审查前端打包JS源码，搜索密钥关键词(privateKey/secretKey/AES/DES/encrypt)，登录口令加密公钥通过GET /otuser/auth/enc接口动态获取，未在前端代码中硬编码密钥。前端无明文存储的对称/非对称密钥常量。(服务端密钥存储需服务端代码审计。)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服务端密钥存储方式未审计(需代码审查)</w:t>
            </w:r>
          </w:p>
        </w:tc>
      </w:tr>
    </w:tbl>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本次授权范围内未涉及云AK/SK凭据的调用与管理场景，据实标记不涉及。</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范围外</w:t>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构造多种异常请求(SQL注入payload、类型错误、空值、超大参数、不存在路径)，服务端一律返回统一格式错误(如'系统内部错误'、'用户名或密码错误'、JSON 404)，未观察到中间件/框架堆栈、SQL语句、文件路径、数据库连接串等详细错误信息泄露。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IM卡管理模块存在'导入文件'(批量导入)功能入口，为避免向生产系统写入测试文件/恶意脚本，未实际上传文件验证后缀白名单、脚本解析、竞争上传等，据实标记未测试。建议在测试环境验证上传白名单的有效性与完整性。</w:t>
            </w:r>
          </w:p>
        </w:tc>
      </w:tr>
      <w:tr>
        <w:tc>
          <w:tcPr>
            <w:tcW w:type="dxa" w:w="1872"/>
            <w:shd w:val="clear" w:fill="F2F2F2"/>
          </w:tcPr>
          <w:p>
            <w:r>
              <w:rPr>
                <w:b/>
              </w:rPr>
              <w:t>修复建议</w:t>
            </w:r>
          </w:p>
        </w:tc>
        <w:tc>
          <w:tcPr>
            <w:tcW w:type="dxa" w:w="7488"/>
          </w:tcPr>
          <w:p>
            <w:r>
              <w:t>文件上传服务端校验后缀白名单、校验文件魔术字节、隔离存储目录禁止脚本解析，上传前强身份校验；关注竞争上传问题。</w:t>
            </w:r>
          </w:p>
        </w:tc>
      </w:tr>
      <w:tr>
        <w:tc>
          <w:tcPr>
            <w:tcW w:type="dxa" w:w="1872"/>
            <w:shd w:val="clear" w:fill="F2F2F2"/>
          </w:tcPr>
          <w:p>
            <w:r>
              <w:rPr>
                <w:b/>
              </w:rPr>
              <w:t>备注</w:t>
            </w:r>
          </w:p>
        </w:tc>
        <w:tc>
          <w:tcPr>
            <w:tcW w:type="dxa" w:w="7488"/>
          </w:tcPr>
          <w:p>
            <w:r>
              <w:t>避免向生产写入数据</w:t>
            </w:r>
          </w:p>
        </w:tc>
      </w:tr>
    </w:tbl>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检查应用功能，数据导出/下载通过业务页面按钮触发(如SIM列表导出)，需登录令牌鉴权。探测常见直接下载路径(/download、/export、/file等)均返回404或401，未发现可被未授权访问或路径穿越的独立文件下载接口。路径穿越测试(../../../../etc/passwd)作为参数值被当作字面量处理，无文件读取。</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导出需鉴权；无独立可越权的下载端点</w:t>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多线程条件竞争验证需对同一资源发起高并发请求(如并发下单/兑换)，属可能影响业务数据完整性的测试。本次生产环境约束下未开展高并发竞争测试，据实标记未测试。</w:t>
            </w:r>
          </w:p>
        </w:tc>
      </w:tr>
      <w:tr>
        <w:tc>
          <w:tcPr>
            <w:tcW w:type="dxa" w:w="1872"/>
            <w:shd w:val="clear" w:fill="F2F2F2"/>
          </w:tcPr>
          <w:p>
            <w:r>
              <w:rPr>
                <w:b/>
              </w:rPr>
              <w:t>修复建议</w:t>
            </w:r>
          </w:p>
        </w:tc>
        <w:tc>
          <w:tcPr>
            <w:tcW w:type="dxa" w:w="7488"/>
          </w:tcPr>
          <w:p>
            <w:r>
              <w:t>对关键业务操作(如申请提交、积分兑换)加锁或使用幂等/事务控制，防止条件竞争。</w:t>
            </w:r>
          </w:p>
        </w:tc>
      </w:tr>
      <w:tr>
        <w:tc>
          <w:tcPr>
            <w:tcW w:type="dxa" w:w="1872"/>
            <w:shd w:val="clear" w:fill="F2F2F2"/>
          </w:tcPr>
          <w:p>
            <w:r>
              <w:rPr>
                <w:b/>
              </w:rPr>
              <w:t>备注</w:t>
            </w:r>
          </w:p>
        </w:tc>
        <w:tc>
          <w:tcPr>
            <w:tcW w:type="dxa" w:w="7488"/>
          </w:tcPr>
          <w:p>
            <w:r>
              <w:t>避免高并发影响生产</w:t>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查询类接口进行参数类型/边界篡改测试：pageNum=-1时服务端自动规范为第1页(无异常)；pageSize=-5时返回空列表(无溢出/数据泄露)；pageSize='abc'/null等非法类型时返回通用错误'系统内部错误'(无SQL/堆栈泄露，无非预期数据)。观察到查询接口对异常参数处理稳健无可利用漏洞。(写入类业务关键参数如金额/数量/ID篡改因生产约束未做破坏性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读取接口参数稳健; 写入类业务参数篡改未做破坏性验证</w:t>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系统存在SIM卡申请/审批类业务流程(apply/applyPage)，业务流程非预期执行(跳步/乱序)验证需实际操作申请提交并尝试跳过步骤，为避免向生产创建测试申请单影响业务，未做验证，据实标记未测试。</w:t>
            </w:r>
          </w:p>
        </w:tc>
      </w:tr>
      <w:tr>
        <w:tc>
          <w:tcPr>
            <w:tcW w:type="dxa" w:w="1872"/>
            <w:shd w:val="clear" w:fill="F2F2F2"/>
          </w:tcPr>
          <w:p>
            <w:r>
              <w:rPr>
                <w:b/>
              </w:rPr>
              <w:t>修复建议</w:t>
            </w:r>
          </w:p>
        </w:tc>
        <w:tc>
          <w:tcPr>
            <w:tcW w:type="dxa" w:w="7488"/>
          </w:tcPr>
          <w:p>
            <w:r>
              <w:t>对关键业务流程做状态机校验，防止跳步、乱序等非预期执行。</w:t>
            </w:r>
          </w:p>
        </w:tc>
      </w:tr>
      <w:tr>
        <w:tc>
          <w:tcPr>
            <w:tcW w:type="dxa" w:w="1872"/>
            <w:shd w:val="clear" w:fill="F2F2F2"/>
          </w:tcPr>
          <w:p>
            <w:r>
              <w:rPr>
                <w:b/>
              </w:rPr>
              <w:t>备注</w:t>
            </w:r>
          </w:p>
        </w:tc>
        <w:tc>
          <w:tcPr>
            <w:tcW w:type="dxa" w:w="7488"/>
          </w:tcPr>
          <w:p>
            <w:r>
              <w:t>避免创建生产申请数据</w:t>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系统具备操作审计日志功能(/otlog/optlog)，管理员可查询操作日志，支持时间范围/分页查询。日志记录包含操作账号(userName)、角色(roleName)、操作时间等字段。具备日志数据统计与查询功能。</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实测操作审计日志记录了操作账号(userName)、角色(roleName)、操作动作等，但来源IP字段(optIp)为空(null)，缺少登录/操作源IP等溯源关键字段。安全事件发生时难以有效溯源攻击来源IP，影响事件响应与取证。</w:t>
            </w:r>
          </w:p>
        </w:tc>
      </w:tr>
      <w:tr>
        <w:tc>
          <w:tcPr>
            <w:tcW w:type="dxa" w:w="1872"/>
            <w:shd w:val="clear" w:fill="F2F2F2"/>
          </w:tcPr>
          <w:p>
            <w:r>
              <w:rPr>
                <w:b/>
              </w:rPr>
              <w:t>修复建议</w:t>
            </w:r>
          </w:p>
        </w:tc>
        <w:tc>
          <w:tcPr>
            <w:tcW w:type="dxa" w:w="7488"/>
          </w:tcPr>
          <w:p>
            <w:r>
              <w:t>审计日志补齐源IP、访问接口URL等关键字段；登录日志包含时间/IP/账号/结果；操作日志包含事件/账号/源IP/接口/动作。</w:t>
            </w:r>
          </w:p>
        </w:tc>
      </w:tr>
      <w:tr>
        <w:tc>
          <w:tcPr>
            <w:tcW w:type="dxa" w:w="1872"/>
            <w:shd w:val="clear" w:fill="F2F2F2"/>
          </w:tcPr>
          <w:p>
            <w:r>
              <w:rPr>
                <w:b/>
              </w:rPr>
              <w:t>备注</w:t>
            </w:r>
          </w:p>
        </w:tc>
        <w:tc>
          <w:tcPr>
            <w:tcW w:type="dxa" w:w="7488"/>
          </w:tcPr>
          <w:p>
            <w:r>
              <w:t>optIp字段为null</w:t>
            </w:r>
          </w:p>
        </w:tc>
      </w:tr>
    </w:tbl>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日志存储时长(≥6个月)需后台数据库/日志系统配置核查或查看6个月前的历史日志记录，本次从客户端侧无法验证日志留存策略与实际时长，据实标记未测试。</w:t>
            </w:r>
          </w:p>
        </w:tc>
      </w:tr>
      <w:tr>
        <w:tc>
          <w:tcPr>
            <w:tcW w:type="dxa" w:w="1872"/>
            <w:shd w:val="clear" w:fill="F2F2F2"/>
          </w:tcPr>
          <w:p>
            <w:r>
              <w:rPr>
                <w:b/>
              </w:rPr>
              <w:t>修复建议</w:t>
            </w:r>
          </w:p>
        </w:tc>
        <w:tc>
          <w:tcPr>
            <w:tcW w:type="dxa" w:w="7488"/>
          </w:tcPr>
          <w:p>
            <w:r>
              <w:t>安全审计日志留存不少于6个月，并保证不可篡改、不可删除。</w:t>
            </w:r>
          </w:p>
        </w:tc>
      </w:tr>
      <w:tr>
        <w:tc>
          <w:tcPr>
            <w:tcW w:type="dxa" w:w="1872"/>
            <w:shd w:val="clear" w:fill="F2F2F2"/>
          </w:tcPr>
          <w:p>
            <w:r>
              <w:rPr>
                <w:b/>
              </w:rPr>
              <w:t>备注</w:t>
            </w:r>
          </w:p>
        </w:tc>
        <w:tc>
          <w:tcPr>
            <w:tcW w:type="dxa" w:w="7488"/>
          </w:tcPr>
          <w:p>
            <w:r>
              <w:t>需后台配置/数据核查</w:t>
            </w:r>
          </w:p>
        </w:tc>
      </w:tr>
    </w:tbl>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登录口令经前端RSA公钥加密后提交(非明文)，认证接口以加密请求体传输凭据；业务接口经HTTPS承载(隧道终止TLS后为明文转发属测试路径限制)。就客户端可观察范围看凭据未明文传输。</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TLS版本经隧道无法独立取证</w:t>
            </w:r>
          </w:p>
        </w:tc>
      </w:tr>
    </w:tbl>
    <w:p>
      <w:pPr>
        <w:jc w:val="center"/>
      </w:pPr>
      <w:r>
        <w:drawing>
          <wp:inline xmlns:a="http://schemas.openxmlformats.org/drawingml/2006/main" xmlns:pic="http://schemas.openxmlformats.org/drawingml/2006/picture">
            <wp:extent cx="4937760" cy="2777490"/>
            <wp:docPr id="2" name="Picture 2"/>
            <wp:cNvGraphicFramePr>
              <a:graphicFrameLocks noChangeAspect="1"/>
            </wp:cNvGraphicFramePr>
            <a:graphic>
              <a:graphicData uri="http://schemas.openxmlformats.org/drawingml/2006/picture">
                <pic:pic>
                  <pic:nvPicPr>
                    <pic:cNvPr id="0" name="fig01_login_success.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图2：管理员账号成功登录(认证凭据加密传输)</w:t>
      </w:r>
    </w:p>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管理端SIM卡信息列表默认以明文完整展示MSISDN、ICCID、IMSI、车辆VIN等敏感标识，未做默认脱敏(如中间位掩码)。敏感业务标识默认明文展示存在通过录屏/截屏等方式泄露的风险。(证据截图中相关敏感字段已由测试方脱敏处理。)注：部分接口(如loginInfo)对手机号/姓名有脱敏(176****6836、詹*)，但SIM业务标识未脱敏。</w:t>
            </w:r>
          </w:p>
        </w:tc>
      </w:tr>
      <w:tr>
        <w:tc>
          <w:tcPr>
            <w:tcW w:type="dxa" w:w="1872"/>
            <w:shd w:val="clear" w:fill="F2F2F2"/>
          </w:tcPr>
          <w:p>
            <w:r>
              <w:rPr>
                <w:b/>
              </w:rPr>
              <w:t>修复建议</w:t>
            </w:r>
          </w:p>
        </w:tc>
        <w:tc>
          <w:tcPr>
            <w:tcW w:type="dxa" w:w="7488"/>
          </w:tcPr>
          <w:p>
            <w:r>
              <w:t>对MSISDN、ICCID、IMSI、VIN等敏感标识默认脱敏展示，按需通过'显示详情'逐条明文查看并记录操作日志。</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fig03_admin_sim_list.png"/>
                    <pic:cNvPicPr/>
                  </pic:nvPicPr>
                  <pic:blipFill>
                    <a:blip r:embed="rId11"/>
                    <a:stretch>
                      <a:fillRect/>
                    </a:stretch>
                  </pic:blipFill>
                  <pic:spPr>
                    <a:xfrm>
                      <a:off x="0" y="0"/>
                      <a:ext cx="4937760" cy="2777490"/>
                    </a:xfrm>
                    <a:prstGeom prst="rect"/>
                  </pic:spPr>
                </pic:pic>
              </a:graphicData>
            </a:graphic>
          </wp:inline>
        </w:drawing>
      </w:r>
    </w:p>
    <w:p>
      <w:pPr>
        <w:jc w:val="center"/>
      </w:pPr>
      <w:r>
        <w:rPr>
          <w:i/>
          <w:sz w:val="18"/>
        </w:rPr>
        <w:t>图3：管理端SIM卡信息默认明文展示敏感标识(图中敏感字段已脱敏)</w:t>
      </w:r>
    </w:p>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系统存在数据导出功能(SIM列表等)，其是否经审批流程管控、是否记录导出日志、导出文件是否加密，需后台流程配置核查或实际导出验证。为避免导出生产真实业务数据，本次未做专项验证，据实标记未测试。</w:t>
            </w:r>
          </w:p>
        </w:tc>
      </w:tr>
      <w:tr>
        <w:tc>
          <w:tcPr>
            <w:tcW w:type="dxa" w:w="1872"/>
            <w:shd w:val="clear" w:fill="F2F2F2"/>
          </w:tcPr>
          <w:p>
            <w:r>
              <w:rPr>
                <w:b/>
              </w:rPr>
              <w:t>修复建议</w:t>
            </w:r>
          </w:p>
        </w:tc>
        <w:tc>
          <w:tcPr>
            <w:tcW w:type="dxa" w:w="7488"/>
          </w:tcPr>
          <w:p>
            <w:r>
              <w:t>三级系统数据导出经审批流程并记录导出日志，含个人信息的导出文件加密保护。</w:t>
            </w:r>
          </w:p>
        </w:tc>
      </w:tr>
      <w:tr>
        <w:tc>
          <w:tcPr>
            <w:tcW w:type="dxa" w:w="1872"/>
            <w:shd w:val="clear" w:fill="F2F2F2"/>
          </w:tcPr>
          <w:p>
            <w:r>
              <w:rPr>
                <w:b/>
              </w:rPr>
              <w:t>备注</w:t>
            </w:r>
          </w:p>
        </w:tc>
        <w:tc>
          <w:tcPr>
            <w:tcW w:type="dxa" w:w="7488"/>
          </w:tcPr>
          <w:p>
            <w:r>
              <w:t>避免导出生产数据</w:t>
            </w:r>
          </w:p>
        </w:tc>
      </w:tr>
    </w:tbl>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本次经授权内网穿透HTTP隧道(cpolar)访问目标，隧道在中间节点终止TLS并以HTTP明文转发至测试端，无法独立核验目标真实的HTTPS启用情况、TLS协议版本(是否禁用TLS1.0/1.1)与加密套件(是否启用前向保密)，据实标记未测试。建议在目标网络内部或通过直连方式核查TLS配置。</w:t>
            </w:r>
          </w:p>
        </w:tc>
      </w:tr>
      <w:tr>
        <w:tc>
          <w:tcPr>
            <w:tcW w:type="dxa" w:w="1872"/>
            <w:shd w:val="clear" w:fill="F2F2F2"/>
          </w:tcPr>
          <w:p>
            <w:r>
              <w:rPr>
                <w:b/>
              </w:rPr>
              <w:t>修复建议</w:t>
            </w:r>
          </w:p>
        </w:tc>
        <w:tc>
          <w:tcPr>
            <w:tcW w:type="dxa" w:w="7488"/>
          </w:tcPr>
          <w:p>
            <w:r>
              <w:t>强制全站HTTPS，禁用TLS1.0/1.1，仅启用TLS1.2及以上并配置前向保密(PFS)套件。</w:t>
            </w:r>
          </w:p>
        </w:tc>
      </w:tr>
      <w:tr>
        <w:tc>
          <w:tcPr>
            <w:tcW w:type="dxa" w:w="1872"/>
            <w:shd w:val="clear" w:fill="F2F2F2"/>
          </w:tcPr>
          <w:p>
            <w:r>
              <w:rPr>
                <w:b/>
              </w:rPr>
              <w:t>备注</w:t>
            </w:r>
          </w:p>
        </w:tc>
        <w:tc>
          <w:tcPr>
            <w:tcW w:type="dxa" w:w="7488"/>
          </w:tcPr>
          <w:p>
            <w:r>
              <w:t>隧道终止TLS，无法独立取证</w:t>
            </w:r>
          </w:p>
        </w:tc>
      </w:tr>
    </w:tbl>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实测对目标发起TRACE/PUT/DELETE等危险HTTP方法请求均被拒绝(返回405或404，非200成功)，服务端仅允许GET/POST等业务必需方法，危险HTTP方法未开放。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密码策略强制要求9-16位且含大小写/数字/特殊字符(至少三种)，当前测试账号密码均满足复杂度(如含大写+小写+数字+特殊字符)。登录有图形验证码防自动化爆破，且失败提示统一'用户名或密码错误'。在当前密码策略+验证码+统一提示的综合防护下，弱口令与暴力破解风险可控。</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密码策略+验证码+统一提示综合防护</w:t>
            </w:r>
          </w:p>
        </w:tc>
      </w:tr>
    </w:tbl>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对用户可控输入参数注入典型反射型XSS payload(&lt;script&gt;alert(1)&lt;/script&gt;)，接口返回JSON格式且payload未被反射执行(仅作为字面量查询条件，返回空结果)。前端使用React虚拟DOM自动转义+js-xss净化库双重防护，HTML渲染时特殊字符被编码。未发现反射型XSS。(存储型XSS需创建含payload的持久数据，因生产约束未做破坏性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反射型未发现; 存储型未破坏性验证</w:t>
            </w:r>
          </w:p>
        </w:tc>
      </w:tr>
    </w:tbl>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审查所有观察到的API接口，数据交互格式均为JSON(Content-Type: application/json)，未发现接受XML格式输入的接口端点。在无XML解析入口的架构下，XXE攻击面不存在。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纯JSON接口，无XML解析入口</w:t>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应用认证态使用自定义请求头(accessToken)承载令牌而非浏览器自动携带的Cookie，跨站请求无法自动带上有效凭据，从机制上显著降低CSRF可行性。实测未发现基于Cookie自动提交的CSRF利用面，敏感操作(如修改/删除)均需accessToken头。</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令牌置于自定义请求头，天然缓解CSRF</w:t>
            </w:r>
          </w:p>
        </w:tc>
      </w:tr>
    </w:tbl>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逐一审查所有已捕获的API接口参数，未发现接受URL/URI作为输入并由服务端发起请求的功能入口(如远程图片加载、webhook回调、URL预览等)。所有接口为结构化JSON查询/业务参数，无服务端外呼型SSRF攻击面。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无URL类输入参数/服务端外呼入口</w:t>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对含字符串过滤参数的查询接口(queryUserList.userName)进行SQL注入单payload测试：(1)单引号→作为字面量处理返回0结果(非报错)；(2)OR '1'='1'→返回0结果(未绕过)；(3)UNION SELECT→返回0结果(未绕过)；(4)AND SLEEP(3)→响应时间~473ms无延迟(非时间盲注)。所有注入尝试均被参数化处理，无布尔绕过/时间延迟/错误泄露。确认使用了预编译/参数化查询防护。</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单引号/OR/UNION/SLEEP全部无效，参数化处理确认</w:t>
            </w:r>
          </w:p>
        </w:tc>
      </w:tr>
    </w:tbl>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审查应用功能与API接口，未发现LDAP目录查询交互场景(无用户目录搜索、无LDAP认证集成接口暴露)。所有用户管理操作通过REST JSON接口实现，无LDAP注入攻击面。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无LDAP查询交互入口</w:t>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应用为前后端分离SPA(React单页应用)+RESTful API架构，不存在传统的动态文件包含(include/require)入口。对查询参数注入路径穿越payload(../../../../etc/passwd)测试，服务端将其作为字面量字符串处理，返回0结果(无文件读取/执行)。未发现文件包含漏洞。</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SPA+REST架构无动态文件包含; 路径穿越payload作字面量处理</w:t>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审查所有API接口，数据传输格式为JSON(非Java原生序列化二进制流)。未观察到接受Java/PHP序列化对象、二进制反序列化数据或ObjectInputStream的接口入口。在纯JSON-over-HTTP架构下，传统反序列化攻击面(如Java Gadget Chain/Fastjson AutoType)不直接适用。(Fastjson若作为底层JSON库存在，需服务端代码审计确认autoType是否关闭。)</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纯JSON传输，无原生序列化入口; Fastjson autoType需服务端审计</w:t>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所有API接口参数，未发现将用户输入直接传入操作系统命令执行的功能入口(无文件路径拼接执行、无命令行参数、无系统调用接口)。所有业务参数为结构化JSON，经参数化处理传入后端业务逻辑。未发现远程命令执行漏洞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结构化JSON参数，无命令执行入口</w:t>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审查前端页面HTML源码和JS打包文件，搜索隐藏链接(display:none/visibility:hidden/opacity:0的&lt;a&gt;标签)、异常外部域名引用、可疑iframe等，未发现暗链/隐蔽恶意链接。页面链接均指向应用内部路由或已知CDN资源。</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探测发现网关路径下可未授权访问springfox-swagger-ui 2.9.2静态页面(/v1-snapshot/otwebgw/swagger-ui.html返回200)。springfox 2.9.2发布于2018年，已停止维护，存在已知安全问题(如信息泄露)。虽然动态API文档(/v2/api-docs)返回软404未实际暴露接口定义，但静态swagger-ui组件本身作为较旧且未授权可达的开发/调试工具不应在生产暴露。后端Server头仅'elb'，未额外泄露其他中间件版本。</w:t>
            </w:r>
          </w:p>
        </w:tc>
      </w:tr>
      <w:tr>
        <w:tc>
          <w:tcPr>
            <w:tcW w:type="dxa" w:w="1872"/>
            <w:shd w:val="clear" w:fill="F2F2F2"/>
          </w:tcPr>
          <w:p>
            <w:r>
              <w:rPr>
                <w:b/>
              </w:rPr>
              <w:t>修复建议</w:t>
            </w:r>
          </w:p>
        </w:tc>
        <w:tc>
          <w:tcPr>
            <w:tcW w:type="dxa" w:w="7488"/>
          </w:tcPr>
          <w:p>
            <w:r>
              <w:t>升级或移除生产环境swagger-ui组件；若需保留，添加鉴权限制仅内部可访问；升级springfox或迁移至springdoc-openapi。</w:t>
            </w:r>
          </w:p>
        </w:tc>
      </w:tr>
      <w:tr>
        <w:tc>
          <w:tcPr>
            <w:tcW w:type="dxa" w:w="1872"/>
            <w:shd w:val="clear" w:fill="F2F2F2"/>
          </w:tcPr>
          <w:p>
            <w:r>
              <w:rPr>
                <w:b/>
              </w:rPr>
              <w:t>备注</w:t>
            </w:r>
          </w:p>
        </w:tc>
        <w:tc>
          <w:tcPr>
            <w:tcW w:type="dxa" w:w="7488"/>
          </w:tcPr>
          <w:p>
            <w:r>
              <w:t>springfox-swagger-ui 2.9.2可未授权访问</w:t>
            </w:r>
          </w:p>
        </w:tc>
      </w:tr>
    </w:tbl>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探测发现以下未授权访问路径：/v1-snapshot/otwebgw/swagger-ui.html(返回200，3318字节，springfox-swagger-ui静态页面，无需任何认证即可访问)。其他常见未授权组件(Spring Actuator /actuator/env、/actuator/health，Eureka，Druid)均返回404/软404/无有效数据。swagger-ui虽然api-docs为软404未暴露完整接口定义，但静态页本身可被用作版本指纹识别与攻击面信息收集。</w:t>
            </w:r>
          </w:p>
        </w:tc>
      </w:tr>
      <w:tr>
        <w:tc>
          <w:tcPr>
            <w:tcW w:type="dxa" w:w="1872"/>
            <w:shd w:val="clear" w:fill="F2F2F2"/>
          </w:tcPr>
          <w:p>
            <w:r>
              <w:rPr>
                <w:b/>
              </w:rPr>
              <w:t>修复建议</w:t>
            </w:r>
          </w:p>
        </w:tc>
        <w:tc>
          <w:tcPr>
            <w:tcW w:type="dxa" w:w="7488"/>
          </w:tcPr>
          <w:p>
            <w:r>
              <w:t>生产环境关闭或鉴权保护swagger-ui等开发/调试组件；排查所有管理端点确保强制鉴权。</w:t>
            </w:r>
          </w:p>
        </w:tc>
      </w:tr>
      <w:tr>
        <w:tc>
          <w:tcPr>
            <w:tcW w:type="dxa" w:w="1872"/>
            <w:shd w:val="clear" w:fill="F2F2F2"/>
          </w:tcPr>
          <w:p>
            <w:r>
              <w:rPr>
                <w:b/>
              </w:rPr>
              <w:t>备注</w:t>
            </w:r>
          </w:p>
        </w:tc>
        <w:tc>
          <w:tcPr>
            <w:tcW w:type="dxa" w:w="7488"/>
          </w:tcPr>
          <w:p>
            <w:r>
              <w:t>swagger-ui.html可未授权访问; actuator/druid等为404</w:t>
            </w:r>
          </w:p>
        </w:tc>
      </w:tr>
    </w:tbl>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探测敏感信息泄露路径：(1)/.git/config→404(未泄露)；(2)/.env→404(未泄露)；(3)/v1-snapshot/otwebgw/swagger-ui.html→200(暴露springfox-swagger-ui 2.9.2版本信息)；(4)常见备份文件(.bak/.zip/.sql)→404(未泄露)。主要风险为swagger-ui静态资源暴露了开发框架组件版本(springfox 2.9.2)，可被攻击者用于针对性漏洞利用信息收集。</w:t>
            </w:r>
          </w:p>
        </w:tc>
      </w:tr>
      <w:tr>
        <w:tc>
          <w:tcPr>
            <w:tcW w:type="dxa" w:w="1872"/>
            <w:shd w:val="clear" w:fill="F2F2F2"/>
          </w:tcPr>
          <w:p>
            <w:r>
              <w:rPr>
                <w:b/>
              </w:rPr>
              <w:t>修复建议</w:t>
            </w:r>
          </w:p>
        </w:tc>
        <w:tc>
          <w:tcPr>
            <w:tcW w:type="dxa" w:w="7488"/>
          </w:tcPr>
          <w:p>
            <w:r>
              <w:t>清理生产环境公开可访问的swagger/调试/示例资源，移除或鉴权保护；确保不暴露源码/配置/备份文件。</w:t>
            </w:r>
          </w:p>
        </w:tc>
      </w:tr>
      <w:tr>
        <w:tc>
          <w:tcPr>
            <w:tcW w:type="dxa" w:w="1872"/>
            <w:shd w:val="clear" w:fill="F2F2F2"/>
          </w:tcPr>
          <w:p>
            <w:r>
              <w:rPr>
                <w:b/>
              </w:rPr>
              <w:t>备注</w:t>
            </w:r>
          </w:p>
        </w:tc>
        <w:tc>
          <w:tcPr>
            <w:tcW w:type="dxa" w:w="7488"/>
          </w:tcPr>
          <w:p>
            <w:r>
              <w:t>版本信息通过swagger-ui暴露</w:t>
            </w:r>
          </w:p>
        </w:tc>
      </w:tr>
    </w:tbl>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查询接口设置超大分页参数(pageSize=100000)测试资源耗尽型DoS，接口响应时间约525ms(数据量仅2条，未产生性能退化)。pageSize参数未做服务端上限限制(echoed回100000)但在当前数据规模下无拒绝服务影响。未发现修改查询时间范围或参数尺寸导致的显著处理延迟或服务不可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pageSize未限上限(轻微); 当前数据量小无DoS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