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p/>
    <w:p/>
    <w:p/>
    <w:p/>
    <w:p/>
    <w:p>
      <w:pPr>
        <w:jc w:val="center"/>
      </w:pPr>
      <w:r>
        <w:rPr>
          <w:rFonts w:ascii="宋体" w:hAnsi="宋体" w:eastAsia="宋体"/>
          <w:sz w:val="28"/>
        </w:rPr>
        <w:t>二〇二六年七月</w:t>
      </w:r>
    </w:p>
    <w:p>
      <w:r>
        <w:br w:type="page"/>
      </w:r>
    </w:p>
    <w:p>
      <w:pPr>
        <w:jc w:val="center"/>
      </w:pPr>
      <w:r>
        <w:rPr>
          <w:rFonts w:ascii="黑体" w:hAnsi="黑体" w:eastAsia="黑体"/>
          <w:b/>
          <w:sz w:val="32"/>
        </w:rPr>
        <w:t>目录</w:t>
      </w:r>
    </w:p>
    <w:p>
      <w:fldSimple w:instr="TOC \o &quot;1-2&quot; \h \z \u">
        <w:r>
          <w:t>（请在 Word 中右键更新域以生成目录）</w:t>
        </w:r>
      </w:fldSimple>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pPr>
        <w:pStyle w:val="Heading2"/>
      </w:pPr>
      <w:r>
        <w:rPr>
          <w:rFonts w:ascii="黑体" w:hAnsi="黑体" w:eastAsia="黑体"/>
          <w:color w:val="000000"/>
        </w:rPr>
        <w:t>2.3 技术架构</w:t>
      </w:r>
    </w:p>
    <w:p>
      <w:pPr>
        <w:ind w:firstLine="440"/>
      </w:pPr>
      <w:r>
        <w:rPr>
          <w:rFonts w:ascii="宋体" w:hAnsi="宋体" w:eastAsia="宋体"/>
          <w:b w:val="0"/>
          <w:sz w:val="22"/>
        </w:rPr>
        <w:t>平台采用分层解耦的技术架构，自下而上分为数据采集层、数据底座层、能力引擎层、业务应用层与展示交互层：</w:t>
      </w:r>
    </w:p>
    <w:p>
      <w:pPr>
        <w:pStyle w:val="ListBullet"/>
      </w:pPr>
      <w:r>
        <w:rPr>
          <w:rFonts w:ascii="宋体" w:hAnsi="宋体" w:eastAsia="宋体"/>
          <w:b/>
        </w:rPr>
        <w:t>数据采集层：</w:t>
      </w:r>
      <w:r>
        <w:rPr>
          <w:rFonts w:ascii="宋体" w:hAnsi="宋体" w:eastAsia="宋体"/>
        </w:rPr>
        <w:t>通过分布式采集器支持API、KAFKA、SYSLOG、SNMP、ODBC/JDBC、FTP/SFTP等多种采集方式，覆盖本地数据中心、公有云、私有云及车端等环境的安全设备、业务系统与IT平台，实现资产、告警、日志、情报等多源数据统一接入。</w:t>
      </w:r>
    </w:p>
    <w:p>
      <w:pPr>
        <w:pStyle w:val="ListBullet"/>
      </w:pPr>
      <w:r>
        <w:rPr>
          <w:rFonts w:ascii="宋体" w:hAnsi="宋体" w:eastAsia="宋体"/>
          <w:b/>
        </w:rPr>
        <w:t>数据底座层：</w:t>
      </w:r>
      <w:r>
        <w:rPr>
          <w:rFonts w:ascii="宋体" w:hAnsi="宋体" w:eastAsia="宋体"/>
        </w:rPr>
        <w:t>基于安全大数据平台实现数据的标准化清洗、范式化解析、灵活存储与流批一体计算，构建统一的资产库、告警库、情报库与知识库，为上层业务提供一致的数据视图。</w:t>
      </w:r>
    </w:p>
    <w:p>
      <w:pPr>
        <w:pStyle w:val="ListBullet"/>
      </w:pPr>
      <w:r>
        <w:rPr>
          <w:rFonts w:ascii="宋体" w:hAnsi="宋体" w:eastAsia="宋体"/>
          <w:b/>
        </w:rPr>
        <w:t>能力引擎层：</w:t>
      </w:r>
      <w:r>
        <w:rPr>
          <w:rFonts w:ascii="宋体" w:hAnsi="宋体" w:eastAsia="宋体"/>
        </w:rPr>
        <w:t>提供关联分析引擎、AI大模型引擎、SOAR自动化编排引擎、流程编排引擎与低代码引擎五大核心引擎，支撑智能降噪、智能研判、自动处置与流程自定义。</w:t>
      </w:r>
    </w:p>
    <w:p>
      <w:pPr>
        <w:pStyle w:val="ListBullet"/>
      </w:pPr>
      <w:r>
        <w:rPr>
          <w:rFonts w:ascii="宋体" w:hAnsi="宋体" w:eastAsia="宋体"/>
          <w:b/>
        </w:rPr>
        <w:t>业务应用层：</w:t>
      </w:r>
      <w:r>
        <w:rPr>
          <w:rFonts w:ascii="宋体" w:hAnsi="宋体" w:eastAsia="宋体"/>
        </w:rPr>
        <w:t>承载工作台、资产管理中心、安全运营中心、安全开发中心、安全监管中心、重保中心、资源情报中心、数字管理中心及AI安全运营智能体等业务模块。</w:t>
      </w:r>
    </w:p>
    <w:p>
      <w:pPr>
        <w:pStyle w:val="ListBullet"/>
      </w:pPr>
      <w:r>
        <w:rPr>
          <w:rFonts w:ascii="宋体" w:hAnsi="宋体" w:eastAsia="宋体"/>
          <w:b/>
        </w:rPr>
        <w:t>展示交互层：</w:t>
      </w:r>
      <w:r>
        <w:rPr>
          <w:rFonts w:ascii="宋体" w:hAnsi="宋体" w:eastAsia="宋体"/>
        </w:rPr>
        <w:t>提供Web控制台、安全大屏、报表报告、即时通讯/邮件消息触达及对外API/MCP服务等多种交互方式。</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平台技术架构示意</w:t>
      </w:r>
    </w:p>
    <w:p>
      <w:pPr>
        <w:pStyle w:val="Heading2"/>
      </w:pPr>
      <w:r>
        <w:rPr>
          <w:rFonts w:ascii="黑体" w:hAnsi="黑体" w:eastAsia="黑体"/>
          <w:color w:val="000000"/>
        </w:rPr>
        <w:t>2.4 平台自身安全设计</w:t>
      </w:r>
    </w:p>
    <w:p>
      <w:pPr>
        <w:ind w:firstLine="440"/>
      </w:pPr>
      <w:r>
        <w:rPr>
          <w:rFonts w:ascii="宋体" w:hAnsi="宋体" w:eastAsia="宋体"/>
          <w:b w:val="0"/>
          <w:sz w:val="22"/>
        </w:rPr>
        <w:t>平台自身遵循安全设计原则，满足等级保护相关技术要求：</w:t>
      </w:r>
    </w:p>
    <w:p>
      <w:pPr>
        <w:pStyle w:val="ListBullet"/>
      </w:pPr>
      <w:r>
        <w:rPr>
          <w:rFonts w:ascii="宋体" w:hAnsi="宋体" w:eastAsia="宋体"/>
        </w:rPr>
        <w:t>身份与权限：支持统一身份认证（OAuth2.0/CAS/LDAP）、多因素认证，基于角色的细粒度权限控制（RBAC），并提供"总公司-分支-部门"多级组织的字段级数据分权，确保用户仅可见授权范围内的数据；</w:t>
      </w:r>
    </w:p>
    <w:p>
      <w:pPr>
        <w:pStyle w:val="ListBullet"/>
      </w:pPr>
      <w:r>
        <w:rPr>
          <w:rFonts w:ascii="宋体" w:hAnsi="宋体" w:eastAsia="宋体"/>
        </w:rPr>
        <w:t>审计与追溯：全量记录用户登录、操作、配置变更及剧本执行日志，支持审计检索与导出，满足安全审计与责任追溯要求；</w:t>
      </w:r>
    </w:p>
    <w:p>
      <w:pPr>
        <w:pStyle w:val="ListBullet"/>
      </w:pPr>
      <w:r>
        <w:rPr>
          <w:rFonts w:ascii="宋体" w:hAnsi="宋体" w:eastAsia="宋体"/>
        </w:rPr>
        <w:t>数据安全：敏感数据（口令、密钥、个人信息）加密存储，传输链路采用HTTPS/TLS加密；支持数据脱敏展示与备份恢复机制；</w:t>
      </w:r>
    </w:p>
    <w:p>
      <w:pPr>
        <w:pStyle w:val="ListBullet"/>
      </w:pPr>
      <w:r>
        <w:rPr>
          <w:rFonts w:ascii="宋体" w:hAnsi="宋体" w:eastAsia="宋体"/>
        </w:rPr>
        <w:t>可用性：核心组件支持集群化部署与故障自动切换，具备系统运行状态自监控与异常告警能力，保障平台持续稳定运行。</w:t>
      </w:r>
    </w:p>
    <w:p>
      <w:pPr>
        <w:pStyle w:val="Heading2"/>
      </w:pPr>
      <w:r>
        <w:rPr>
          <w:rFonts w:ascii="黑体" w:hAnsi="黑体" w:eastAsia="黑体"/>
          <w:color w:val="000000"/>
        </w:rPr>
        <w:t>2.5 性能与非功能指标</w:t>
      </w:r>
    </w:p>
    <w:tbl>
      <w:tblPr>
        <w:tblStyle w:val="TableGrid"/>
        <w:tblW w:type="auto" w:w="0"/>
        <w:jc w:val="center"/>
        <w:tblLook w:firstColumn="1" w:firstRow="1" w:lastColumn="0" w:lastRow="0" w:noHBand="0" w:noVBand="1" w:val="04A0"/>
      </w:tblPr>
      <w:tblGrid>
        <w:gridCol w:w="2880"/>
        <w:gridCol w:w="2880"/>
        <w:gridCol w:w="2880"/>
      </w:tblGrid>
      <w:tr>
        <w:tc>
          <w:tcPr>
            <w:tcW w:type="dxa" w:w="1474"/>
          </w:tcPr>
          <w:p>
            <w:r/>
            <w:r>
              <w:rPr>
                <w:rFonts w:ascii="宋体" w:hAnsi="宋体" w:eastAsia="宋体"/>
                <w:b/>
                <w:sz w:val="20"/>
              </w:rPr>
              <w:t>指标类别</w:t>
            </w:r>
          </w:p>
        </w:tc>
        <w:tc>
          <w:tcPr>
            <w:tcW w:type="dxa" w:w="2381"/>
          </w:tcPr>
          <w:p>
            <w:r/>
            <w:r>
              <w:rPr>
                <w:rFonts w:ascii="宋体" w:hAnsi="宋体" w:eastAsia="宋体"/>
                <w:b/>
                <w:sz w:val="20"/>
              </w:rPr>
              <w:t>指标项</w:t>
            </w:r>
          </w:p>
        </w:tc>
        <w:tc>
          <w:tcPr>
            <w:tcW w:type="dxa" w:w="4989"/>
          </w:tcPr>
          <w:p>
            <w:r/>
            <w:r>
              <w:rPr>
                <w:rFonts w:ascii="宋体" w:hAnsi="宋体" w:eastAsia="宋体"/>
                <w:b/>
                <w:sz w:val="20"/>
              </w:rPr>
              <w:t>指标值</w:t>
            </w:r>
          </w:p>
        </w:tc>
      </w:tr>
      <w:tr>
        <w:tc>
          <w:tcPr>
            <w:tcW w:type="dxa" w:w="1474"/>
          </w:tcPr>
          <w:p>
            <w:r/>
            <w:r>
              <w:rPr>
                <w:rFonts w:ascii="宋体" w:hAnsi="宋体" w:eastAsia="宋体"/>
                <w:sz w:val="20"/>
              </w:rPr>
              <w:t>数据处理</w:t>
            </w:r>
          </w:p>
        </w:tc>
        <w:tc>
          <w:tcPr>
            <w:tcW w:type="dxa" w:w="2381"/>
          </w:tcPr>
          <w:p>
            <w:r/>
            <w:r>
              <w:rPr>
                <w:rFonts w:ascii="宋体" w:hAnsi="宋体" w:eastAsia="宋体"/>
                <w:sz w:val="20"/>
              </w:rPr>
              <w:t>安全数据采集处理能力</w:t>
            </w:r>
          </w:p>
        </w:tc>
        <w:tc>
          <w:tcPr>
            <w:tcW w:type="dxa" w:w="4989"/>
          </w:tcPr>
          <w:p>
            <w:r/>
            <w:r>
              <w:rPr>
                <w:rFonts w:ascii="宋体" w:hAnsi="宋体" w:eastAsia="宋体"/>
                <w:sz w:val="20"/>
              </w:rPr>
              <w:t>支持百万级EPS数据接入处理，满足多云与车端海量数据汇聚需求</w:t>
            </w:r>
          </w:p>
        </w:tc>
      </w:tr>
      <w:tr>
        <w:tc>
          <w:tcPr>
            <w:tcW w:type="dxa" w:w="1474"/>
          </w:tcPr>
          <w:p>
            <w:r/>
            <w:r>
              <w:rPr>
                <w:rFonts w:ascii="宋体" w:hAnsi="宋体" w:eastAsia="宋体"/>
                <w:sz w:val="20"/>
              </w:rPr>
              <w:t>数据检索</w:t>
            </w:r>
          </w:p>
        </w:tc>
        <w:tc>
          <w:tcPr>
            <w:tcW w:type="dxa" w:w="2381"/>
          </w:tcPr>
          <w:p>
            <w:r/>
            <w:r>
              <w:rPr>
                <w:rFonts w:ascii="宋体" w:hAnsi="宋体" w:eastAsia="宋体"/>
                <w:sz w:val="20"/>
              </w:rPr>
              <w:t>海量数据检索性能</w:t>
            </w:r>
          </w:p>
        </w:tc>
        <w:tc>
          <w:tcPr>
            <w:tcW w:type="dxa" w:w="4989"/>
          </w:tcPr>
          <w:p>
            <w:r/>
            <w:r>
              <w:rPr>
                <w:rFonts w:ascii="宋体" w:hAnsi="宋体" w:eastAsia="宋体"/>
                <w:sz w:val="20"/>
              </w:rPr>
              <w:t>PB级数据秒级检索，支撑告警溯源与报表分析</w:t>
            </w:r>
          </w:p>
        </w:tc>
      </w:tr>
      <w:tr>
        <w:tc>
          <w:tcPr>
            <w:tcW w:type="dxa" w:w="1474"/>
          </w:tcPr>
          <w:p>
            <w:r/>
            <w:r>
              <w:rPr>
                <w:rFonts w:ascii="宋体" w:hAnsi="宋体" w:eastAsia="宋体"/>
                <w:sz w:val="20"/>
              </w:rPr>
              <w:t>设备接入</w:t>
            </w:r>
          </w:p>
        </w:tc>
        <w:tc>
          <w:tcPr>
            <w:tcW w:type="dxa" w:w="2381"/>
          </w:tcPr>
          <w:p>
            <w:r/>
            <w:r>
              <w:rPr>
                <w:rFonts w:ascii="宋体" w:hAnsi="宋体" w:eastAsia="宋体"/>
                <w:sz w:val="20"/>
              </w:rPr>
              <w:t>数据源适配能力</w:t>
            </w:r>
          </w:p>
        </w:tc>
        <w:tc>
          <w:tcPr>
            <w:tcW w:type="dxa" w:w="4989"/>
          </w:tcPr>
          <w:p>
            <w:r/>
            <w:r>
              <w:rPr>
                <w:rFonts w:ascii="宋体" w:hAnsi="宋体" w:eastAsia="宋体"/>
                <w:sz w:val="20"/>
              </w:rPr>
              <w:t>预置800余种主流安全设备/系统解析规则，新增源图形化快速接入</w:t>
            </w:r>
          </w:p>
        </w:tc>
      </w:tr>
      <w:tr>
        <w:tc>
          <w:tcPr>
            <w:tcW w:type="dxa" w:w="1474"/>
          </w:tcPr>
          <w:p>
            <w:r/>
            <w:r>
              <w:rPr>
                <w:rFonts w:ascii="宋体" w:hAnsi="宋体" w:eastAsia="宋体"/>
                <w:sz w:val="20"/>
              </w:rPr>
              <w:t>自动化</w:t>
            </w:r>
          </w:p>
        </w:tc>
        <w:tc>
          <w:tcPr>
            <w:tcW w:type="dxa" w:w="2381"/>
          </w:tcPr>
          <w:p>
            <w:r/>
            <w:r>
              <w:rPr>
                <w:rFonts w:ascii="宋体" w:hAnsi="宋体" w:eastAsia="宋体"/>
                <w:sz w:val="20"/>
              </w:rPr>
              <w:t>SOAR剧本执行</w:t>
            </w:r>
          </w:p>
        </w:tc>
        <w:tc>
          <w:tcPr>
            <w:tcW w:type="dxa" w:w="4989"/>
          </w:tcPr>
          <w:p>
            <w:r/>
            <w:r>
              <w:rPr>
                <w:rFonts w:ascii="宋体" w:hAnsi="宋体" w:eastAsia="宋体"/>
                <w:sz w:val="20"/>
              </w:rPr>
              <w:t>支持事件触发、定时触发，剧本执行全程留痕可审计</w:t>
            </w:r>
          </w:p>
        </w:tc>
      </w:tr>
      <w:tr>
        <w:tc>
          <w:tcPr>
            <w:tcW w:type="dxa" w:w="1474"/>
          </w:tcPr>
          <w:p>
            <w:r/>
            <w:r>
              <w:rPr>
                <w:rFonts w:ascii="宋体" w:hAnsi="宋体" w:eastAsia="宋体"/>
                <w:sz w:val="20"/>
              </w:rPr>
              <w:t>可用性</w:t>
            </w:r>
          </w:p>
        </w:tc>
        <w:tc>
          <w:tcPr>
            <w:tcW w:type="dxa" w:w="2381"/>
          </w:tcPr>
          <w:p>
            <w:r/>
            <w:r>
              <w:rPr>
                <w:rFonts w:ascii="宋体" w:hAnsi="宋体" w:eastAsia="宋体"/>
                <w:sz w:val="20"/>
              </w:rPr>
              <w:t>系统可用性</w:t>
            </w:r>
          </w:p>
        </w:tc>
        <w:tc>
          <w:tcPr>
            <w:tcW w:type="dxa" w:w="4989"/>
          </w:tcPr>
          <w:p>
            <w:r/>
            <w:r>
              <w:rPr>
                <w:rFonts w:ascii="宋体" w:hAnsi="宋体" w:eastAsia="宋体"/>
                <w:sz w:val="20"/>
              </w:rPr>
              <w:t>核心组件支持集群部署与故障切换，年可用率≥99.9%</w:t>
            </w:r>
          </w:p>
        </w:tc>
      </w:tr>
      <w:tr>
        <w:tc>
          <w:tcPr>
            <w:tcW w:type="dxa" w:w="1474"/>
          </w:tcPr>
          <w:p>
            <w:r/>
            <w:r>
              <w:rPr>
                <w:rFonts w:ascii="宋体" w:hAnsi="宋体" w:eastAsia="宋体"/>
                <w:sz w:val="20"/>
              </w:rPr>
              <w:t>并发访问</w:t>
            </w:r>
          </w:p>
        </w:tc>
        <w:tc>
          <w:tcPr>
            <w:tcW w:type="dxa" w:w="2381"/>
          </w:tcPr>
          <w:p>
            <w:r/>
            <w:r>
              <w:rPr>
                <w:rFonts w:ascii="宋体" w:hAnsi="宋体" w:eastAsia="宋体"/>
                <w:sz w:val="20"/>
              </w:rPr>
              <w:t>Web并发用户</w:t>
            </w:r>
          </w:p>
        </w:tc>
        <w:tc>
          <w:tcPr>
            <w:tcW w:type="dxa" w:w="4989"/>
          </w:tcPr>
          <w:p>
            <w:r/>
            <w:r>
              <w:rPr>
                <w:rFonts w:ascii="宋体" w:hAnsi="宋体" w:eastAsia="宋体"/>
                <w:sz w:val="20"/>
              </w:rPr>
              <w:t>支持不少于200个用户并发访问，页面常规操作响应不超过3秒</w:t>
            </w:r>
          </w:p>
        </w:tc>
      </w:tr>
      <w:tr>
        <w:tc>
          <w:tcPr>
            <w:tcW w:type="dxa" w:w="1474"/>
          </w:tcPr>
          <w:p>
            <w:r/>
            <w:r>
              <w:rPr>
                <w:rFonts w:ascii="宋体" w:hAnsi="宋体" w:eastAsia="宋体"/>
                <w:sz w:val="20"/>
              </w:rPr>
              <w:t>扩展性</w:t>
            </w:r>
          </w:p>
        </w:tc>
        <w:tc>
          <w:tcPr>
            <w:tcW w:type="dxa" w:w="2381"/>
          </w:tcPr>
          <w:p>
            <w:r/>
            <w:r>
              <w:rPr>
                <w:rFonts w:ascii="宋体" w:hAnsi="宋体" w:eastAsia="宋体"/>
                <w:sz w:val="20"/>
              </w:rPr>
              <w:t>横向扩展</w:t>
            </w:r>
          </w:p>
        </w:tc>
        <w:tc>
          <w:tcPr>
            <w:tcW w:type="dxa" w:w="4989"/>
          </w:tcPr>
          <w:p>
            <w:r/>
            <w:r>
              <w:rPr>
                <w:rFonts w:ascii="宋体" w:hAnsi="宋体" w:eastAsia="宋体"/>
                <w:sz w:val="20"/>
              </w:rPr>
              <w:t>采集器、计算与存储节点支持水平扩容，适应数据规模增长</w:t>
            </w:r>
          </w:p>
        </w:tc>
      </w:tr>
    </w:tbl>
    <w:p>
      <w:pPr>
        <w:ind w:firstLine="440"/>
      </w:pPr>
      <w:r>
        <w:rPr>
          <w:rFonts w:ascii="宋体" w:hAnsi="宋体" w:eastAsia="宋体"/>
          <w:b w:val="0"/>
          <w:sz w:val="22"/>
        </w:rPr>
        <w:t>注：以上为产品基准指标，项目实际部署规格将结合甲方数据量与资源情况在实施方案中细化确认。</w:t>
      </w:r>
    </w:p>
    <w:p>
      <w:pPr>
        <w:pStyle w:val="Heading2"/>
      </w:pPr>
      <w:r>
        <w:rPr>
          <w:rFonts w:ascii="黑体" w:hAnsi="黑体" w:eastAsia="黑体"/>
          <w:color w:val="000000"/>
        </w:rPr>
        <w:t>2.6 数据安全与合规</w:t>
      </w:r>
    </w:p>
    <w:p>
      <w:pPr>
        <w:ind w:firstLine="440"/>
      </w:pPr>
      <w:r>
        <w:rPr>
          <w:rFonts w:ascii="宋体" w:hAnsi="宋体" w:eastAsia="宋体"/>
          <w:b w:val="0"/>
          <w:sz w:val="22"/>
        </w:rPr>
        <w:t>本项目涉及车端资产与车联安全数据，平台建设与运营严格遵循《网络安全法》《数据安全法》《个人信息保护法》《汽车数据安全管理若干规定（试行）》及GB/T 40861《汽车信息安全通用技术要求》等法律法规与标准要求：车端数据在甲方侧本地处理与存储，不出甲方授权环境；涉及个人信息与重要数据的展示采用脱敏处理；数据访问遵循最小必要原则并全程审计，协助甲方落实汽车数据安全主体责任。</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t>战略规划支持</w:t>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r>
        <w:br w:type="page"/>
      </w:r>
    </w:p>
    <w:p>
      <w:pPr>
        <w:pStyle w:val="Heading1"/>
      </w:pPr>
      <w:r>
        <w:rPr>
          <w:rFonts w:ascii="黑体" w:hAnsi="黑体" w:eastAsia="黑体"/>
          <w:color w:val="000000"/>
        </w:rPr>
        <w:t>五、验收与交付方案</w:t>
      </w:r>
    </w:p>
    <w:p>
      <w:pPr>
        <w:pStyle w:val="Heading2"/>
      </w:pPr>
      <w:r>
        <w:rPr>
          <w:rFonts w:ascii="黑体" w:hAnsi="黑体" w:eastAsia="黑体"/>
          <w:color w:val="000000"/>
        </w:rPr>
        <w:t>5.1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5.2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5.3 验收组织与方法</w:t>
      </w:r>
    </w:p>
    <w:p>
      <w:pPr>
        <w:pStyle w:val="ListBullet"/>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Bullet"/>
      </w:pPr>
      <w:r>
        <w:rPr>
          <w:rFonts w:ascii="宋体" w:hAnsi="宋体" w:eastAsia="宋体"/>
        </w:rPr>
        <w:t>逐项核验：终验前提供《功能验收对照表》，对照全部57项功能点逐项进行现场功能演示与核验，验收结论逐项签字确认，确保验收可量化、可追溯、无争议。</w:t>
      </w:r>
    </w:p>
    <w:p>
      <w:pPr>
        <w:pStyle w:val="ListBullet"/>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六、产品功能截图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2"/>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（2）日常运营工作台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3"/>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（3）数字管理中心-安全大屏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（4）资产管理-安全布防图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5"/>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（5）重保中心-重保工作台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（6）专项防护-APT防护工作台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7"/>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（7）专项防护-勒索防护工作台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8"/>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七、项目实施方案</w:t>
      </w:r>
    </w:p>
    <w:p>
      <w:pPr>
        <w:pStyle w:val="Heading2"/>
      </w:pPr>
      <w:r>
        <w:rPr>
          <w:rFonts w:ascii="黑体" w:hAnsi="黑体" w:eastAsia="黑体"/>
          <w:color w:val="000000"/>
        </w:rPr>
        <w:t>7.1 实施总体原则</w:t>
      </w:r>
    </w:p>
    <w:p>
      <w:pPr>
        <w:ind w:firstLine="440"/>
      </w:pPr>
      <w:r>
        <w:rPr>
          <w:rFonts w:ascii="宋体" w:hAnsi="宋体" w:eastAsia="宋体"/>
          <w:b w:val="0"/>
          <w:sz w:val="22"/>
        </w:rPr>
        <w:t>本项目实施遵循以下原则：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项目开始前签署完善的、满足法律规范的保密协议，项目实施前、中、后三个阶段全过程做好安全保密工作，工作成果属甲方所有。</w:t>
      </w:r>
    </w:p>
    <w:p>
      <w:pPr>
        <w:pStyle w:val="ListBullet"/>
      </w:pPr>
      <w:r>
        <w:rPr>
          <w:rFonts w:ascii="宋体" w:hAnsi="宋体" w:eastAsia="宋体"/>
          <w:b/>
        </w:rPr>
        <w:t>标准性原则：</w:t>
      </w:r>
      <w:r>
        <w:rPr>
          <w:rFonts w:ascii="宋体" w:hAnsi="宋体" w:eastAsia="宋体"/>
        </w:rPr>
        <w:t>实施方案的设计与实施依据国家法律法规、信息系统安全等级保护和集团相关文件标准进行，遵循公安部相关文件、集团总部相关标准文件要求，所用标准均为最新版本；标准内容矛盾时，按最高标准的条款执行或按双方商定的标准执行。</w:t>
      </w:r>
    </w:p>
    <w:p>
      <w:pPr>
        <w:pStyle w:val="ListBullet"/>
      </w:pPr>
      <w:r>
        <w:rPr>
          <w:rFonts w:ascii="宋体" w:hAnsi="宋体" w:eastAsia="宋体"/>
          <w:b/>
        </w:rPr>
        <w:t>规范性原则：</w:t>
      </w:r>
      <w:r>
        <w:rPr>
          <w:rFonts w:ascii="宋体" w:hAnsi="宋体" w:eastAsia="宋体"/>
        </w:rPr>
        <w:t>实施工作中的过程和文档具有良好的规范性，便于项目的跟踪和控制，各阶段输出规范化文档并经甲方确认。</w:t>
      </w:r>
    </w:p>
    <w:p>
      <w:pPr>
        <w:pStyle w:val="ListBullet"/>
      </w:pPr>
      <w:r>
        <w:rPr>
          <w:rFonts w:ascii="宋体" w:hAnsi="宋体" w:eastAsia="宋体"/>
          <w:b/>
        </w:rPr>
        <w:t>可控性原则：</w:t>
      </w:r>
      <w:r>
        <w:rPr>
          <w:rFonts w:ascii="宋体" w:hAnsi="宋体" w:eastAsia="宋体"/>
        </w:rPr>
        <w:t>项目工作进度严格按照进度表安排执行，通过周报、里程碑评审等机制保证工作的可控性。</w:t>
      </w:r>
    </w:p>
    <w:p>
      <w:pPr>
        <w:pStyle w:val="ListBullet"/>
      </w:pPr>
      <w:r>
        <w:rPr>
          <w:rFonts w:ascii="宋体" w:hAnsi="宋体" w:eastAsia="宋体"/>
          <w:b/>
        </w:rPr>
        <w:t>最小影响原则：</w:t>
      </w:r>
      <w:r>
        <w:rPr>
          <w:rFonts w:ascii="宋体" w:hAnsi="宋体" w:eastAsia="宋体"/>
        </w:rPr>
        <w:t>安全测试阶段工作尽可能小地影响系统和网络，并在可控范围内；安全测试工作不对现有信息系统的正常运行、业务的正常开展产生任何影响。涉及生产环境的操作提前报备、在甲方指定窗口期实施并具备回退方案。</w:t>
      </w:r>
    </w:p>
    <w:p>
      <w:pPr>
        <w:pStyle w:val="ListBullet"/>
      </w:pPr>
      <w:r>
        <w:rPr>
          <w:rFonts w:ascii="宋体" w:hAnsi="宋体" w:eastAsia="宋体"/>
          <w:b/>
        </w:rPr>
        <w:t>变更管理：</w:t>
      </w:r>
      <w:r>
        <w:rPr>
          <w:rFonts w:ascii="宋体" w:hAnsi="宋体" w:eastAsia="宋体"/>
        </w:rPr>
        <w:t>项目实施过程中，如存在项目范围和项目内容的增加、减少等变化，严格执行变更管理流程，由甲乙双方对项目范围和项目内容进行确认、变更后方可实施。</w:t>
      </w:r>
    </w:p>
    <w:p>
      <w:pPr>
        <w:pStyle w:val="Heading2"/>
      </w:pPr>
      <w:r>
        <w:rPr>
          <w:rFonts w:ascii="黑体" w:hAnsi="黑体" w:eastAsia="黑体"/>
          <w:color w:val="000000"/>
        </w:rPr>
        <w:t>7.2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7.3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9"/>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7.4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7.5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57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7.6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7.7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7.8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