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非生产性物料数据平台（数据治理管理后台）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委托单位：东风汽车集团有限公司</w:t>
      </w:r>
    </w:p>
    <w:p>
      <w:pPr>
        <w:jc w:val="center"/>
      </w:pPr>
      <w:r>
        <w:rPr>
          <w:rFonts w:ascii="微软雅黑" w:hAnsi="微软雅黑" w:eastAsia="微软雅黑"/>
          <w:b w:val="0"/>
          <w:sz w:val="26"/>
        </w:rPr>
        <w:t>测试人员：AI安全员</w:t>
      </w:r>
    </w:p>
    <w:p>
      <w:pPr>
        <w:jc w:val="center"/>
      </w:pPr>
      <w:r>
        <w:rPr>
          <w:rFonts w:ascii="微软雅黑" w:hAnsi="微软雅黑" w:eastAsia="微软雅黑"/>
          <w:b w:val="0"/>
          <w:sz w:val="26"/>
        </w:rPr>
        <w:t>测试日期：2026年07月20日</w:t>
      </w:r>
    </w:p>
    <w:p/>
    <w:p/>
    <w:p/>
    <w:p/>
    <w:p/>
    <w:p/>
    <w:p>
      <w:pPr>
        <w:jc w:val="center"/>
      </w:pPr>
      <w:r>
        <w:rPr>
          <w:rFonts w:ascii="微软雅黑" w:hAnsi="微软雅黑" w:eastAsia="微软雅黑"/>
          <w:b w:val="0"/>
          <w:sz w:val="24"/>
        </w:rPr>
        <w:t>联友智连科技有限公司</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http://10.124.253.92/（经授权内网穿透访问，已脱敏）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《OWASP安全测试指南V4.0》</w:t>
      </w:r>
    </w:p>
    <w:p>
      <w:pPr>
        <w:pStyle w:val="ListBullet"/>
      </w:pPr>
      <w:r>
        <w:t>《OWASP TOP10》</w:t>
      </w:r>
    </w:p>
    <w:p>
      <w:pPr>
        <w:pStyle w:val="ListBullet"/>
      </w:pPr>
      <w:r>
        <w:t>《渗透测试执行标准PTES（Penetration Testing Execution Standard）》</w:t>
      </w:r>
    </w:p>
    <w:p>
      <w:pPr>
        <w:pStyle w:val="ListBullet"/>
      </w:pPr>
      <w:r>
        <w:t>《ISO/IEC 27001信息安全管理》</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22239-2019 信息安全技术 网络安全等级保护基本要求》</w:t>
      </w:r>
    </w:p>
    <w:p>
      <w:pPr>
        <w:pStyle w:val="ListBullet"/>
      </w:pPr>
      <w:r>
        <w:t>《中华人民共和国网络安全法》</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非生产性物料数据平台（数据治理管理后台），不涉及主机、配置等其他检测。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页面/JS/请求响应观察取证、真实登录深测与截图</w:t>
            </w:r>
          </w:p>
        </w:tc>
      </w:tr>
      <w:tr>
        <w:tc>
          <w:tcPr>
            <w:tcW w:type="dxa" w:w="2880"/>
          </w:tcPr>
          <w:p>
            <w:r>
              <w:t>curl / Python requests</w:t>
            </w:r>
          </w:p>
        </w:tc>
        <w:tc>
          <w:tcPr>
            <w:tcW w:type="dxa" w:w="2880"/>
          </w:tcPr>
          <w:p>
            <w:r>
              <w:t>手工检测</w:t>
            </w:r>
          </w:p>
        </w:tc>
        <w:tc>
          <w:tcPr>
            <w:tcW w:type="dxa" w:w="2880"/>
          </w:tcPr>
          <w:p>
            <w:r>
              <w:t>HTTP 请求构造、响应头/CORS/HTTP 方法/JWT/越权验证</w:t>
            </w:r>
          </w:p>
        </w:tc>
      </w:tr>
      <w:tr>
        <w:tc>
          <w:tcPr>
            <w:tcW w:type="dxa" w:w="2880"/>
          </w:tcPr>
          <w:p>
            <w:r>
              <w:t>本机 TCP 代理抓包（逐字节抓包分析）</w:t>
            </w:r>
          </w:p>
        </w:tc>
        <w:tc>
          <w:tcPr>
            <w:tcW w:type="dxa" w:w="2880"/>
          </w:tcPr>
          <w:p>
            <w:r>
              <w:t>流量抓包</w:t>
            </w:r>
          </w:p>
        </w:tc>
        <w:tc>
          <w:tcPr>
            <w:tcW w:type="dxa" w:w="2880"/>
          </w:tcPr>
          <w:p>
            <w:r>
              <w:t>对登录与认证接口做真实链路抓包取证，验证 HTTP 明文传输口令/会话令牌</w:t>
            </w:r>
          </w:p>
        </w:tc>
      </w:tr>
      <w:tr>
        <w:tc>
          <w:tcPr>
            <w:tcW w:type="dxa" w:w="2880"/>
          </w:tcPr>
          <w:p>
            <w:r>
              <w:t>TCP connect 端口扫描（PowerShell TcpClient，内网侧）</w:t>
            </w:r>
          </w:p>
        </w:tc>
        <w:tc>
          <w:tcPr>
            <w:tcW w:type="dxa" w:w="2880"/>
          </w:tcPr>
          <w:p>
            <w:r>
              <w:t>端口扫描</w:t>
            </w:r>
          </w:p>
        </w:tc>
        <w:tc>
          <w:tcPr>
            <w:tcW w:type="dxa" w:w="2880"/>
          </w:tcPr>
          <w:p>
            <w:r>
              <w:t>从授权内网位置对目标主机常用及管理/高危端口做 TCP 连接扫描与暴露面核查</w:t>
            </w:r>
          </w:p>
        </w:tc>
      </w:tr>
      <w:tr>
        <w:tc>
          <w:tcPr>
            <w:tcW w:type="dxa" w:w="2880"/>
          </w:tcPr>
          <w:p>
            <w:r>
              <w:t>cpolar</w:t>
            </w:r>
          </w:p>
        </w:tc>
        <w:tc>
          <w:tcPr>
            <w:tcW w:type="dxa" w:w="2880"/>
          </w:tcPr>
          <w:p>
            <w:r>
              <w:t>内网穿透</w:t>
            </w:r>
          </w:p>
        </w:tc>
        <w:tc>
          <w:tcPr>
            <w:tcW w:type="dxa" w:w="2880"/>
          </w:tcPr>
          <w:p>
            <w:r>
              <w:t>经授权将内网应用端口安全暴露供检测</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2026-07-20</w:t>
            </w:r>
          </w:p>
        </w:tc>
        <w:tc>
          <w:tcPr>
            <w:tcW w:type="dxa" w:w="2160"/>
          </w:tcPr>
          <w:p>
            <w:r>
              <w:t>V1.0</w:t>
            </w:r>
          </w:p>
        </w:tc>
        <w:tc>
          <w:tcPr>
            <w:tcW w:type="dxa" w:w="2160"/>
          </w:tcPr>
          <w:p>
            <w:r>
              <w:t>创建应用安全检测报告</w:t>
            </w:r>
          </w:p>
        </w:tc>
        <w:tc>
          <w:tcPr>
            <w:tcW w:type="dxa" w:w="2160"/>
          </w:tcPr>
          <w:p>
            <w:r>
              <w:t>AI安全员</w:t>
            </w:r>
          </w:p>
        </w:tc>
      </w:tr>
      <w:tr>
        <w:tc>
          <w:tcPr>
            <w:tcW w:type="dxa" w:w="2160"/>
          </w:tcPr>
          <w:p>
            <w:r>
              <w:t>2026-07-21</w:t>
            </w:r>
          </w:p>
        </w:tc>
        <w:tc>
          <w:tcPr>
            <w:tcW w:type="dxa" w:w="2160"/>
          </w:tcPr>
          <w:p>
            <w:r>
              <w:t>V1.1</w:t>
            </w:r>
          </w:p>
        </w:tc>
        <w:tc>
          <w:tcPr>
            <w:tcW w:type="dxa" w:w="2160"/>
          </w:tcPr>
          <w:p>
            <w:r>
              <w:t>补充链路抓包取证与全端口扫描</w:t>
            </w:r>
          </w:p>
        </w:tc>
        <w:tc>
          <w:tcPr>
            <w:tcW w:type="dxa" w:w="2160"/>
          </w:tcPr>
          <w:p>
            <w:r>
              <w:t>AI安全员</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非生产性物料数据平台（数据治理管理后台）</w:t>
            </w:r>
          </w:p>
        </w:tc>
        <w:tc>
          <w:tcPr>
            <w:tcW w:type="dxa" w:w="2160"/>
          </w:tcPr>
          <w:p>
            <w:r>
              <w:t>等保二级（待核定）</w:t>
            </w:r>
          </w:p>
        </w:tc>
        <w:tc>
          <w:tcPr>
            <w:tcW w:type="dxa" w:w="2160"/>
          </w:tcPr>
          <w:p>
            <w:r>
              <w:t>http://10.124.253.92/（经授权内网穿透访问，已脱敏）</w:t>
            </w:r>
          </w:p>
        </w:tc>
        <w:tc>
          <w:tcPr>
            <w:tcW w:type="dxa" w:w="2160"/>
          </w:tcPr>
          <w:p>
            <w:r>
              <w:t>内网访问（脱敏）</w:t>
            </w:r>
          </w:p>
        </w:tc>
      </w:tr>
    </w:tbl>
    <w:p>
      <w:pPr>
        <w:pStyle w:val="Heading2"/>
      </w:pPr>
      <w:r>
        <w:t>风险信息</w:t>
      </w:r>
    </w:p>
    <w:p>
      <w:r>
        <w:rPr>
          <w:i w:val="0"/>
        </w:rPr>
        <w:t>本次安全检测共完成 55 项检测内容，共计发现 20 个安全风险，其中高危风险 2 个、中危风险 7 个、低危风险 11 个（判定为“不符合”）。另有“符合” 28 项、“未测试” 4 项、“不涉及” 3 项。</w:t>
      </w:r>
    </w:p>
    <w:p>
      <w:r>
        <w:rPr>
          <w:i w:val="0"/>
        </w:rPr>
        <w:t>“未测试” 4 项系因测试条件受限（如缺少对照账号、生产环境非破坏性约束、经隧道无法验证等）无法完成验证，据实标记并说明原因；“不涉及” 3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3.3.1</w:t>
            </w:r>
          </w:p>
        </w:tc>
        <w:tc>
          <w:tcPr>
            <w:tcW w:type="dxa" w:w="1728"/>
          </w:tcPr>
          <w:p>
            <w:r>
              <w:t>前端JS库软件版本安全测试</w:t>
            </w:r>
          </w:p>
        </w:tc>
        <w:tc>
          <w:tcPr>
            <w:tcW w:type="dxa" w:w="1728"/>
          </w:tcPr>
          <w:p>
            <w:r>
              <w:rPr>
                <w:b/>
                <w:color w:val="E36C09"/>
              </w:rPr>
              <w:t>中</w:t>
            </w:r>
          </w:p>
        </w:tc>
        <w:tc>
          <w:tcPr>
            <w:tcW w:type="dxa" w:w="1728"/>
          </w:tcPr>
          <w:p>
            <w:r/>
          </w:p>
        </w:tc>
      </w:tr>
      <w:tr>
        <w:tc>
          <w:tcPr>
            <w:tcW w:type="dxa" w:w="1728"/>
          </w:tcPr>
          <w:p>
            <w:r>
              <w:t>2</w:t>
            </w:r>
          </w:p>
        </w:tc>
        <w:tc>
          <w:tcPr>
            <w:tcW w:type="dxa" w:w="1728"/>
          </w:tcPr>
          <w:p>
            <w:r>
              <w:t>3.3.2</w:t>
            </w:r>
          </w:p>
        </w:tc>
        <w:tc>
          <w:tcPr>
            <w:tcW w:type="dxa" w:w="1728"/>
          </w:tcPr>
          <w:p>
            <w:r>
              <w:t>前端JS泄露安全测试</w:t>
            </w:r>
          </w:p>
        </w:tc>
        <w:tc>
          <w:tcPr>
            <w:tcW w:type="dxa" w:w="1728"/>
          </w:tcPr>
          <w:p>
            <w:r>
              <w:rPr>
                <w:b/>
                <w:color w:val="BF8F00"/>
              </w:rPr>
              <w:t>低</w:t>
            </w:r>
          </w:p>
        </w:tc>
        <w:tc>
          <w:tcPr>
            <w:tcW w:type="dxa" w:w="1728"/>
          </w:tcPr>
          <w:p>
            <w:r/>
          </w:p>
        </w:tc>
      </w:tr>
      <w:tr>
        <w:tc>
          <w:tcPr>
            <w:tcW w:type="dxa" w:w="1728"/>
          </w:tcPr>
          <w:p>
            <w:r>
              <w:t>3</w:t>
            </w:r>
          </w:p>
        </w:tc>
        <w:tc>
          <w:tcPr>
            <w:tcW w:type="dxa" w:w="1728"/>
          </w:tcPr>
          <w:p>
            <w:r>
              <w:t>3.4.1</w:t>
            </w:r>
          </w:p>
        </w:tc>
        <w:tc>
          <w:tcPr>
            <w:tcW w:type="dxa" w:w="1728"/>
          </w:tcPr>
          <w:p>
            <w:r>
              <w:t>软件版本信息泄漏安全测试</w:t>
            </w:r>
          </w:p>
        </w:tc>
        <w:tc>
          <w:tcPr>
            <w:tcW w:type="dxa" w:w="1728"/>
          </w:tcPr>
          <w:p>
            <w:r>
              <w:rPr>
                <w:b/>
                <w:color w:val="BF8F00"/>
              </w:rPr>
              <w:t>低</w:t>
            </w:r>
          </w:p>
        </w:tc>
        <w:tc>
          <w:tcPr>
            <w:tcW w:type="dxa" w:w="1728"/>
          </w:tcPr>
          <w:p>
            <w:r/>
          </w:p>
        </w:tc>
      </w:tr>
      <w:tr>
        <w:tc>
          <w:tcPr>
            <w:tcW w:type="dxa" w:w="1728"/>
          </w:tcPr>
          <w:p>
            <w:r>
              <w:t>4</w:t>
            </w:r>
          </w:p>
        </w:tc>
        <w:tc>
          <w:tcPr>
            <w:tcW w:type="dxa" w:w="1728"/>
          </w:tcPr>
          <w:p>
            <w:r>
              <w:t>3.4.2</w:t>
            </w:r>
          </w:p>
        </w:tc>
        <w:tc>
          <w:tcPr>
            <w:tcW w:type="dxa" w:w="1728"/>
          </w:tcPr>
          <w:p>
            <w:r>
              <w:t>防重放攻击、防篡改功能安全测试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3.5.1</w:t>
            </w:r>
          </w:p>
        </w:tc>
        <w:tc>
          <w:tcPr>
            <w:tcW w:type="dxa" w:w="1728"/>
          </w:tcPr>
          <w:p>
            <w:r>
              <w:t>验证码功能安全测试</w:t>
            </w:r>
          </w:p>
        </w:tc>
        <w:tc>
          <w:tcPr>
            <w:tcW w:type="dxa" w:w="1728"/>
          </w:tcPr>
          <w:p>
            <w:r>
              <w:rPr>
                <w:b/>
                <w:color w:val="E36C09"/>
              </w:rPr>
              <w:t>中</w:t>
            </w:r>
          </w:p>
        </w:tc>
        <w:tc>
          <w:tcPr>
            <w:tcW w:type="dxa" w:w="1728"/>
          </w:tcPr>
          <w:p>
            <w:r/>
          </w:p>
        </w:tc>
      </w:tr>
      <w:tr>
        <w:tc>
          <w:tcPr>
            <w:tcW w:type="dxa" w:w="1728"/>
          </w:tcPr>
          <w:p>
            <w:r>
              <w:t>6</w:t>
            </w:r>
          </w:p>
        </w:tc>
        <w:tc>
          <w:tcPr>
            <w:tcW w:type="dxa" w:w="1728"/>
          </w:tcPr>
          <w:p>
            <w:r>
              <w:t>3.5.3</w:t>
            </w:r>
          </w:p>
        </w:tc>
        <w:tc>
          <w:tcPr>
            <w:tcW w:type="dxa" w:w="1728"/>
          </w:tcPr>
          <w:p>
            <w:r>
              <w:t>双因素验证功能安全测试</w:t>
            </w:r>
          </w:p>
        </w:tc>
        <w:tc>
          <w:tcPr>
            <w:tcW w:type="dxa" w:w="1728"/>
          </w:tcPr>
          <w:p>
            <w:r>
              <w:rPr>
                <w:b/>
                <w:color w:val="E36C09"/>
              </w:rPr>
              <w:t>中</w:t>
            </w:r>
          </w:p>
        </w:tc>
        <w:tc>
          <w:tcPr>
            <w:tcW w:type="dxa" w:w="1728"/>
          </w:tcPr>
          <w:p>
            <w:r/>
          </w:p>
        </w:tc>
      </w:tr>
      <w:tr>
        <w:tc>
          <w:tcPr>
            <w:tcW w:type="dxa" w:w="1728"/>
          </w:tcPr>
          <w:p>
            <w:r>
              <w:t>7</w:t>
            </w:r>
          </w:p>
        </w:tc>
        <w:tc>
          <w:tcPr>
            <w:tcW w:type="dxa" w:w="1728"/>
          </w:tcPr>
          <w:p>
            <w:r>
              <w:t>3.5.4</w:t>
            </w:r>
          </w:p>
        </w:tc>
        <w:tc>
          <w:tcPr>
            <w:tcW w:type="dxa" w:w="1728"/>
          </w:tcPr>
          <w:p>
            <w:r>
              <w:t>首次登录强制改密安全测试</w:t>
            </w:r>
          </w:p>
        </w:tc>
        <w:tc>
          <w:tcPr>
            <w:tcW w:type="dxa" w:w="1728"/>
          </w:tcPr>
          <w:p>
            <w:r>
              <w:rPr>
                <w:b/>
                <w:color w:val="BF8F00"/>
              </w:rPr>
              <w:t>低</w:t>
            </w:r>
          </w:p>
        </w:tc>
        <w:tc>
          <w:tcPr>
            <w:tcW w:type="dxa" w:w="1728"/>
          </w:tcPr>
          <w:p>
            <w:r/>
          </w:p>
        </w:tc>
      </w:tr>
      <w:tr>
        <w:tc>
          <w:tcPr>
            <w:tcW w:type="dxa" w:w="1728"/>
          </w:tcPr>
          <w:p>
            <w:r>
              <w:t>8</w:t>
            </w:r>
          </w:p>
        </w:tc>
        <w:tc>
          <w:tcPr>
            <w:tcW w:type="dxa" w:w="1728"/>
          </w:tcPr>
          <w:p>
            <w:r>
              <w:t>3.5.8</w:t>
            </w:r>
          </w:p>
        </w:tc>
        <w:tc>
          <w:tcPr>
            <w:tcW w:type="dxa" w:w="1728"/>
          </w:tcPr>
          <w:p>
            <w:r>
              <w:t>强密码策略安全测试</w:t>
            </w:r>
          </w:p>
        </w:tc>
        <w:tc>
          <w:tcPr>
            <w:tcW w:type="dxa" w:w="1728"/>
          </w:tcPr>
          <w:p>
            <w:r>
              <w:rPr>
                <w:b/>
                <w:color w:val="BF8F00"/>
              </w:rPr>
              <w:t>低</w:t>
            </w:r>
          </w:p>
        </w:tc>
        <w:tc>
          <w:tcPr>
            <w:tcW w:type="dxa" w:w="1728"/>
          </w:tcPr>
          <w:p>
            <w:r/>
          </w:p>
        </w:tc>
      </w:tr>
      <w:tr>
        <w:tc>
          <w:tcPr>
            <w:tcW w:type="dxa" w:w="1728"/>
          </w:tcPr>
          <w:p>
            <w:r>
              <w:t>9</w:t>
            </w:r>
          </w:p>
        </w:tc>
        <w:tc>
          <w:tcPr>
            <w:tcW w:type="dxa" w:w="1728"/>
          </w:tcPr>
          <w:p>
            <w:r>
              <w:t>3.5.9</w:t>
            </w:r>
          </w:p>
        </w:tc>
        <w:tc>
          <w:tcPr>
            <w:tcW w:type="dxa" w:w="1728"/>
          </w:tcPr>
          <w:p>
            <w:r>
              <w:t>长期不登录账号锁定安全测试</w:t>
            </w:r>
          </w:p>
        </w:tc>
        <w:tc>
          <w:tcPr>
            <w:tcW w:type="dxa" w:w="1728"/>
          </w:tcPr>
          <w:p>
            <w:r>
              <w:rPr>
                <w:b/>
                <w:color w:val="BF8F00"/>
              </w:rPr>
              <w:t>低</w:t>
            </w:r>
          </w:p>
        </w:tc>
        <w:tc>
          <w:tcPr>
            <w:tcW w:type="dxa" w:w="1728"/>
          </w:tcPr>
          <w:p>
            <w:r/>
          </w:p>
        </w:tc>
      </w:tr>
      <w:tr>
        <w:tc>
          <w:tcPr>
            <w:tcW w:type="dxa" w:w="1728"/>
          </w:tcPr>
          <w:p>
            <w:r>
              <w:t>10</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11</w:t>
            </w:r>
          </w:p>
        </w:tc>
        <w:tc>
          <w:tcPr>
            <w:tcW w:type="dxa" w:w="1728"/>
          </w:tcPr>
          <w:p>
            <w:r>
              <w:t>3.7.4</w:t>
            </w:r>
          </w:p>
        </w:tc>
        <w:tc>
          <w:tcPr>
            <w:tcW w:type="dxa" w:w="1728"/>
          </w:tcPr>
          <w:p>
            <w:r>
              <w:t>会话超时安全测试</w:t>
            </w:r>
          </w:p>
        </w:tc>
        <w:tc>
          <w:tcPr>
            <w:tcW w:type="dxa" w:w="1728"/>
          </w:tcPr>
          <w:p>
            <w:r>
              <w:rPr>
                <w:b/>
                <w:color w:val="E36C09"/>
              </w:rPr>
              <w:t>中</w:t>
            </w:r>
          </w:p>
        </w:tc>
        <w:tc>
          <w:tcPr>
            <w:tcW w:type="dxa" w:w="1728"/>
          </w:tcPr>
          <w:p>
            <w:r/>
          </w:p>
        </w:tc>
      </w:tr>
      <w:tr>
        <w:tc>
          <w:tcPr>
            <w:tcW w:type="dxa" w:w="1728"/>
          </w:tcPr>
          <w:p>
            <w:r>
              <w:t>12</w:t>
            </w:r>
          </w:p>
        </w:tc>
        <w:tc>
          <w:tcPr>
            <w:tcW w:type="dxa" w:w="1728"/>
          </w:tcPr>
          <w:p>
            <w:r>
              <w:t>3.8.1</w:t>
            </w:r>
          </w:p>
        </w:tc>
        <w:tc>
          <w:tcPr>
            <w:tcW w:type="dxa" w:w="1728"/>
          </w:tcPr>
          <w:p>
            <w:r>
              <w:t>密钥存储安全测试</w:t>
            </w:r>
          </w:p>
        </w:tc>
        <w:tc>
          <w:tcPr>
            <w:tcW w:type="dxa" w:w="1728"/>
          </w:tcPr>
          <w:p>
            <w:r>
              <w:rPr>
                <w:b/>
                <w:color w:val="BF8F00"/>
              </w:rPr>
              <w:t>低</w:t>
            </w:r>
          </w:p>
        </w:tc>
        <w:tc>
          <w:tcPr>
            <w:tcW w:type="dxa" w:w="1728"/>
          </w:tcPr>
          <w:p>
            <w:r/>
          </w:p>
        </w:tc>
      </w:tr>
      <w:tr>
        <w:tc>
          <w:tcPr>
            <w:tcW w:type="dxa" w:w="1728"/>
          </w:tcPr>
          <w:p>
            <w:r>
              <w:t>13</w:t>
            </w:r>
          </w:p>
        </w:tc>
        <w:tc>
          <w:tcPr>
            <w:tcW w:type="dxa" w:w="1728"/>
          </w:tcPr>
          <w:p>
            <w:r>
              <w:t>3.9.1</w:t>
            </w:r>
          </w:p>
        </w:tc>
        <w:tc>
          <w:tcPr>
            <w:tcW w:type="dxa" w:w="1728"/>
          </w:tcPr>
          <w:p>
            <w:r>
              <w:t>应用组件错误信息安全测试</w:t>
            </w:r>
          </w:p>
        </w:tc>
        <w:tc>
          <w:tcPr>
            <w:tcW w:type="dxa" w:w="1728"/>
          </w:tcPr>
          <w:p>
            <w:r>
              <w:rPr>
                <w:b/>
                <w:color w:val="BF8F00"/>
              </w:rPr>
              <w:t>低</w:t>
            </w:r>
          </w:p>
        </w:tc>
        <w:tc>
          <w:tcPr>
            <w:tcW w:type="dxa" w:w="1728"/>
          </w:tcPr>
          <w:p>
            <w:r/>
          </w:p>
        </w:tc>
      </w:tr>
      <w:tr>
        <w:tc>
          <w:tcPr>
            <w:tcW w:type="dxa" w:w="1728"/>
          </w:tcPr>
          <w:p>
            <w:r>
              <w:t>14</w:t>
            </w:r>
          </w:p>
        </w:tc>
        <w:tc>
          <w:tcPr>
            <w:tcW w:type="dxa" w:w="1728"/>
          </w:tcPr>
          <w:p>
            <w:r>
              <w:t>3.12.1</w:t>
            </w:r>
          </w:p>
        </w:tc>
        <w:tc>
          <w:tcPr>
            <w:tcW w:type="dxa" w:w="1728"/>
          </w:tcPr>
          <w:p>
            <w:r>
              <w:t>加密传输安全测试</w:t>
            </w:r>
          </w:p>
        </w:tc>
        <w:tc>
          <w:tcPr>
            <w:tcW w:type="dxa" w:w="1728"/>
          </w:tcPr>
          <w:p>
            <w:r>
              <w:rPr>
                <w:b/>
                <w:color w:val="C00000"/>
              </w:rPr>
              <w:t>高</w:t>
            </w:r>
          </w:p>
        </w:tc>
        <w:tc>
          <w:tcPr>
            <w:tcW w:type="dxa" w:w="1728"/>
          </w:tcPr>
          <w:p>
            <w:r/>
          </w:p>
        </w:tc>
      </w:tr>
      <w:tr>
        <w:tc>
          <w:tcPr>
            <w:tcW w:type="dxa" w:w="1728"/>
          </w:tcPr>
          <w:p>
            <w:r>
              <w:t>15</w:t>
            </w:r>
          </w:p>
        </w:tc>
        <w:tc>
          <w:tcPr>
            <w:tcW w:type="dxa" w:w="1728"/>
          </w:tcPr>
          <w:p>
            <w:r>
              <w:t>3.12.2</w:t>
            </w:r>
          </w:p>
        </w:tc>
        <w:tc>
          <w:tcPr>
            <w:tcW w:type="dxa" w:w="1728"/>
          </w:tcPr>
          <w:p>
            <w:r>
              <w:t>数据脱敏展示安全测试</w:t>
            </w:r>
          </w:p>
        </w:tc>
        <w:tc>
          <w:tcPr>
            <w:tcW w:type="dxa" w:w="1728"/>
          </w:tcPr>
          <w:p>
            <w:r>
              <w:rPr>
                <w:b/>
                <w:color w:val="BF8F00"/>
              </w:rPr>
              <w:t>低</w:t>
            </w:r>
          </w:p>
        </w:tc>
        <w:tc>
          <w:tcPr>
            <w:tcW w:type="dxa" w:w="1728"/>
          </w:tcPr>
          <w:p>
            <w:r/>
          </w:p>
        </w:tc>
      </w:tr>
      <w:tr>
        <w:tc>
          <w:tcPr>
            <w:tcW w:type="dxa" w:w="1728"/>
          </w:tcPr>
          <w:p>
            <w:r>
              <w:t>16</w:t>
            </w:r>
          </w:p>
        </w:tc>
        <w:tc>
          <w:tcPr>
            <w:tcW w:type="dxa" w:w="1728"/>
          </w:tcPr>
          <w:p>
            <w:r>
              <w:t>3.12.3</w:t>
            </w:r>
          </w:p>
        </w:tc>
        <w:tc>
          <w:tcPr>
            <w:tcW w:type="dxa" w:w="1728"/>
          </w:tcPr>
          <w:p>
            <w:r>
              <w:t>数据导出安全测试</w:t>
            </w:r>
          </w:p>
        </w:tc>
        <w:tc>
          <w:tcPr>
            <w:tcW w:type="dxa" w:w="1728"/>
          </w:tcPr>
          <w:p>
            <w:r>
              <w:rPr>
                <w:b/>
                <w:color w:val="BF8F00"/>
              </w:rPr>
              <w:t>低</w:t>
            </w:r>
          </w:p>
        </w:tc>
        <w:tc>
          <w:tcPr>
            <w:tcW w:type="dxa" w:w="1728"/>
          </w:tcPr>
          <w:p>
            <w:r/>
          </w:p>
        </w:tc>
      </w:tr>
      <w:tr>
        <w:tc>
          <w:tcPr>
            <w:tcW w:type="dxa" w:w="1728"/>
          </w:tcPr>
          <w:p>
            <w:r>
              <w:t>17</w:t>
            </w:r>
          </w:p>
        </w:tc>
        <w:tc>
          <w:tcPr>
            <w:tcW w:type="dxa" w:w="1728"/>
          </w:tcPr>
          <w:p>
            <w:r>
              <w:t>3.13.1</w:t>
            </w:r>
          </w:p>
        </w:tc>
        <w:tc>
          <w:tcPr>
            <w:tcW w:type="dxa" w:w="1728"/>
          </w:tcPr>
          <w:p>
            <w:r>
              <w:t>HTTPS协议安全测试</w:t>
            </w:r>
          </w:p>
        </w:tc>
        <w:tc>
          <w:tcPr>
            <w:tcW w:type="dxa" w:w="1728"/>
          </w:tcPr>
          <w:p>
            <w:r>
              <w:rPr>
                <w:b/>
                <w:color w:val="C00000"/>
              </w:rPr>
              <w:t>高</w:t>
            </w:r>
          </w:p>
        </w:tc>
        <w:tc>
          <w:tcPr>
            <w:tcW w:type="dxa" w:w="1728"/>
          </w:tcPr>
          <w:p>
            <w:r/>
          </w:p>
        </w:tc>
      </w:tr>
      <w:tr>
        <w:tc>
          <w:tcPr>
            <w:tcW w:type="dxa" w:w="1728"/>
          </w:tcPr>
          <w:p>
            <w:r>
              <w:t>18</w:t>
            </w:r>
          </w:p>
        </w:tc>
        <w:tc>
          <w:tcPr>
            <w:tcW w:type="dxa" w:w="1728"/>
          </w:tcPr>
          <w:p>
            <w:r>
              <w:t>3.13.4</w:t>
            </w:r>
          </w:p>
        </w:tc>
        <w:tc>
          <w:tcPr>
            <w:tcW w:type="dxa" w:w="1728"/>
          </w:tcPr>
          <w:p>
            <w:r>
              <w:t>XSS安全测试</w:t>
            </w:r>
          </w:p>
        </w:tc>
        <w:tc>
          <w:tcPr>
            <w:tcW w:type="dxa" w:w="1728"/>
          </w:tcPr>
          <w:p>
            <w:r>
              <w:rPr>
                <w:b/>
                <w:color w:val="BF8F00"/>
              </w:rPr>
              <w:t>低</w:t>
            </w:r>
          </w:p>
        </w:tc>
        <w:tc>
          <w:tcPr>
            <w:tcW w:type="dxa" w:w="1728"/>
          </w:tcPr>
          <w:p>
            <w:r/>
          </w:p>
        </w:tc>
      </w:tr>
      <w:tr>
        <w:tc>
          <w:tcPr>
            <w:tcW w:type="dxa" w:w="1728"/>
          </w:tcPr>
          <w:p>
            <w:r>
              <w:t>19</w:t>
            </w:r>
          </w:p>
        </w:tc>
        <w:tc>
          <w:tcPr>
            <w:tcW w:type="dxa" w:w="1728"/>
          </w:tcPr>
          <w:p>
            <w:r>
              <w:t>3.13.15</w:t>
            </w:r>
          </w:p>
        </w:tc>
        <w:tc>
          <w:tcPr>
            <w:tcW w:type="dxa" w:w="1728"/>
          </w:tcPr>
          <w:p>
            <w:r>
              <w:t>未授权访问安全测试</w:t>
            </w:r>
          </w:p>
        </w:tc>
        <w:tc>
          <w:tcPr>
            <w:tcW w:type="dxa" w:w="1728"/>
          </w:tcPr>
          <w:p>
            <w:r>
              <w:rPr>
                <w:b/>
                <w:color w:val="E36C09"/>
              </w:rPr>
              <w:t>中</w:t>
            </w:r>
          </w:p>
        </w:tc>
        <w:tc>
          <w:tcPr>
            <w:tcW w:type="dxa" w:w="1728"/>
          </w:tcPr>
          <w:p>
            <w:r/>
          </w:p>
        </w:tc>
      </w:tr>
      <w:tr>
        <w:tc>
          <w:tcPr>
            <w:tcW w:type="dxa" w:w="1728"/>
          </w:tcPr>
          <w:p>
            <w:r>
              <w:t>20</w:t>
            </w:r>
          </w:p>
        </w:tc>
        <w:tc>
          <w:tcPr>
            <w:tcW w:type="dxa" w:w="1728"/>
          </w:tcPr>
          <w:p>
            <w:r>
              <w:t>3.13.16</w:t>
            </w:r>
          </w:p>
        </w:tc>
        <w:tc>
          <w:tcPr>
            <w:tcW w:type="dxa" w:w="1728"/>
          </w:tcPr>
          <w:p>
            <w:r>
              <w:t>敏感信息泄露安全测试</w:t>
            </w:r>
          </w:p>
        </w:tc>
        <w:tc>
          <w:tcPr>
            <w:tcW w:type="dxa" w:w="1728"/>
          </w:tcPr>
          <w:p>
            <w:r>
              <w:rPr>
                <w:b/>
                <w:color w:val="BF8F00"/>
              </w:rPr>
              <w:t>低</w:t>
            </w:r>
          </w:p>
        </w:tc>
        <w:tc>
          <w:tcPr>
            <w:tcW w:type="dxa" w:w="1728"/>
          </w:tcPr>
          <w:p>
            <w:r/>
          </w:p>
        </w:tc>
      </w:tr>
    </w:tbl>
    <w:p>
      <w:r>
        <w:rPr>
          <w:i/>
        </w:rPr>
        <w:t>注：上表仅列出本次判定为“不符合”的 20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从授权内网侧对目标主机 10.124.253.92 做 TCP connect 端口扫描（覆盖常用服务与 SSH/RDP/MySQL/MSSQL/PgSQL/Redis/MongoDB/Memcached/Docker/ZK/ES/Kibana/RabbitMQ/Hadoop/Kubelet 及各类管理控制台等高危及管理端口）。结果仅 80/HTTP（nginx/1.30.2 业务应用）开放，上述高危及管理端口均未开放，对外端口暴露面收敛、仅暴露必要业务端口。</w:t>
            </w:r>
          </w:p>
        </w:tc>
      </w:tr>
      <w:tr>
        <w:tc>
          <w:tcPr>
            <w:tcW w:type="dxa" w:w="1872"/>
            <w:shd w:val="clear" w:fill="F2F2F2"/>
          </w:tcPr>
          <w:p>
            <w:r>
              <w:rPr>
                <w:b/>
              </w:rPr>
              <w:t>修复建议</w:t>
            </w:r>
          </w:p>
        </w:tc>
        <w:tc>
          <w:tcPr>
            <w:tcW w:type="dxa" w:w="7488"/>
          </w:tcPr>
          <w:p>
            <w:r>
              <w:t>维持最小化端口暴露，仅开放必要业务端口；管理/运维端口继续保持不对外暴露并限制来源 IP。</w:t>
            </w:r>
          </w:p>
        </w:tc>
      </w:tr>
      <w:tr>
        <w:tc>
          <w:tcPr>
            <w:tcW w:type="dxa" w:w="1872"/>
            <w:shd w:val="clear" w:fill="F2F2F2"/>
          </w:tcPr>
          <w:p>
            <w:r>
              <w:rPr>
                <w:b/>
              </w:rPr>
              <w:t>备注</w:t>
            </w:r>
          </w:p>
        </w:tc>
        <w:tc>
          <w:tcPr>
            <w:tcW w:type="dxa" w:w="7488"/>
          </w:tcPr>
          <w:p>
            <w:r>
              <w:t>内网侧 TCP 扫描；覆盖常用+管理/高危端口</w:t>
            </w:r>
          </w:p>
        </w:tc>
      </w:tr>
    </w:tbl>
    <w:p>
      <w:pPr>
        <w:jc w:val="center"/>
      </w:pPr>
      <w:r>
        <w:drawing>
          <wp:inline xmlns:a="http://schemas.openxmlformats.org/drawingml/2006/main" xmlns:pic="http://schemas.openxmlformats.org/drawingml/2006/picture">
            <wp:extent cx="4937760" cy="2142635"/>
            <wp:docPr id="1" name="Picture 1"/>
            <wp:cNvGraphicFramePr>
              <a:graphicFrameLocks noChangeAspect="1"/>
            </wp:cNvGraphicFramePr>
            <a:graphic>
              <a:graphicData uri="http://schemas.openxmlformats.org/drawingml/2006/picture">
                <pic:pic>
                  <pic:nvPicPr>
                    <pic:cNvPr id="0" name="fig10_portscan.png"/>
                    <pic:cNvPicPr/>
                  </pic:nvPicPr>
                  <pic:blipFill>
                    <a:blip r:embed="rId9"/>
                    <a:stretch>
                      <a:fillRect/>
                    </a:stretch>
                  </pic:blipFill>
                  <pic:spPr>
                    <a:xfrm>
                      <a:off x="0" y="0"/>
                      <a:ext cx="4937760" cy="2142635"/>
                    </a:xfrm>
                    <a:prstGeom prst="rect"/>
                  </pic:spPr>
                </pic:pic>
              </a:graphicData>
            </a:graphic>
          </wp:inline>
        </w:drawing>
      </w:r>
    </w:p>
    <w:p>
      <w:pPr>
        <w:jc w:val="center"/>
      </w:pPr>
      <w:r>
        <w:rPr>
          <w:i/>
          <w:sz w:val="18"/>
        </w:rPr>
        <w:t>图: 端口扫描（仅 80/HTTP 开放）</w:t>
      </w:r>
    </w:p>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已识别技术栈：前端 Vue3 + Arco Design；后端 Spring Boot（ContiNew-Admin）+ Sa-Token；反向代理 nginx/1.30.2。受访问权限限制无法获取服务器/中间件补丁级别做完整基线核对；前端 JS 库版本问题另见 FRON-001。</w:t>
            </w:r>
          </w:p>
        </w:tc>
      </w:tr>
      <w:tr>
        <w:tc>
          <w:tcPr>
            <w:tcW w:type="dxa" w:w="1872"/>
            <w:shd w:val="clear" w:fill="F2F2F2"/>
          </w:tcPr>
          <w:p>
            <w:r>
              <w:rPr>
                <w:b/>
              </w:rPr>
              <w:t>修复建议</w:t>
            </w:r>
          </w:p>
        </w:tc>
        <w:tc>
          <w:tcPr>
            <w:tcW w:type="dxa" w:w="7488"/>
          </w:tcPr>
          <w:p>
            <w:r>
              <w:t>建立组件版本基线台账，定期比对 CVE 并升级到安全版本；隐藏中间件版本信息。</w:t>
            </w:r>
          </w:p>
        </w:tc>
      </w:tr>
      <w:tr>
        <w:tc>
          <w:tcPr>
            <w:tcW w:type="dxa" w:w="1872"/>
            <w:shd w:val="clear" w:fill="F2F2F2"/>
          </w:tcPr>
          <w:p>
            <w:r>
              <w:rPr>
                <w:b/>
              </w:rPr>
              <w:t>备注</w:t>
            </w:r>
          </w:p>
        </w:tc>
        <w:tc>
          <w:tcPr>
            <w:tcW w:type="dxa" w:w="7488"/>
          </w:tcPr>
          <w:p>
            <w:r>
              <w:t>补丁级别不可获取</w:t>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 utils-vendor 打包文件内含 axios 版本字符串 version:"0.27.2"。axios 0.27.2 存在已知漏洞 CVE-2023-45857（跨源重定向导致 XSRF-TOKEN 泄露，影响 &lt;1.6.0）。</w:t>
            </w:r>
          </w:p>
        </w:tc>
      </w:tr>
      <w:tr>
        <w:tc>
          <w:tcPr>
            <w:tcW w:type="dxa" w:w="1872"/>
            <w:shd w:val="clear" w:fill="F2F2F2"/>
          </w:tcPr>
          <w:p>
            <w:r>
              <w:rPr>
                <w:b/>
              </w:rPr>
              <w:t>修复建议</w:t>
            </w:r>
          </w:p>
        </w:tc>
        <w:tc>
          <w:tcPr>
            <w:tcW w:type="dxa" w:w="7488"/>
          </w:tcPr>
          <w:p>
            <w:r>
              <w:t>将 axios 升级至 1.6.0 及以上版本；建立前端依赖 SCA 扫描与升级机制。</w:t>
            </w:r>
          </w:p>
        </w:tc>
      </w:tr>
      <w:tr>
        <w:tc>
          <w:tcPr>
            <w:tcW w:type="dxa" w:w="1872"/>
            <w:shd w:val="clear" w:fill="F2F2F2"/>
          </w:tcPr>
          <w:p>
            <w:r>
              <w:rPr>
                <w:b/>
              </w:rPr>
              <w:t>备注</w:t>
            </w:r>
          </w:p>
        </w:tc>
        <w:tc>
          <w:tcPr>
            <w:tcW w:type="dxa" w:w="7488"/>
          </w:tcPr>
          <w:p>
            <w:r>
              <w:t>证据：打包 JS 内嵌版本元数据</w:t>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前端打包 JS 泄露：固定 clientId、内部对象存储地址（文件上传返回 http://localhost:8000/file/...）、静态硬编码 AES 密钥（详见 Key-001）；并可枚举全部前端路由与 API 路径。属信息泄露/纵深防御缺口。</w:t>
            </w:r>
          </w:p>
        </w:tc>
      </w:tr>
      <w:tr>
        <w:tc>
          <w:tcPr>
            <w:tcW w:type="dxa" w:w="1872"/>
            <w:shd w:val="clear" w:fill="F2F2F2"/>
          </w:tcPr>
          <w:p>
            <w:r>
              <w:rPr>
                <w:b/>
              </w:rPr>
              <w:t>修复建议</w:t>
            </w:r>
          </w:p>
        </w:tc>
        <w:tc>
          <w:tcPr>
            <w:tcW w:type="dxa" w:w="7488"/>
          </w:tcPr>
          <w:p>
            <w:r>
              <w:t>移除前端硬编码密钥/内部地址；上传返回使用对外网关地址；对敏感配置改由后端下发。</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HTTP 响应头 Server: nginx/1.30.2 泄露中间件类型与版本；异常响应泄露后端 Java 类型转换等框架内部信息（详见 INFO-001）。</w:t>
            </w:r>
          </w:p>
        </w:tc>
      </w:tr>
      <w:tr>
        <w:tc>
          <w:tcPr>
            <w:tcW w:type="dxa" w:w="1872"/>
            <w:shd w:val="clear" w:fill="F2F2F2"/>
          </w:tcPr>
          <w:p>
            <w:r>
              <w:rPr>
                <w:b/>
              </w:rPr>
              <w:t>修复建议</w:t>
            </w:r>
          </w:p>
        </w:tc>
        <w:tc>
          <w:tcPr>
            <w:tcW w:type="dxa" w:w="7488"/>
          </w:tcPr>
          <w:p>
            <w:r>
              <w:t>关闭/伪装 Server 版本头（server_tokens off）；统一异常返回，避免泄露组件与版本信息。</w:t>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抓包分析前端请求未见签名/时间戳/nonce 等防重放防篡改机制（打包 JS 无 X-Sign/X-Timestamp/nonce 逻辑）。结合全站 HTTP 明文，捕获的业务请求可被原样重放或篡改后重发。</w:t>
            </w:r>
          </w:p>
        </w:tc>
      </w:tr>
      <w:tr>
        <w:tc>
          <w:tcPr>
            <w:tcW w:type="dxa" w:w="1872"/>
            <w:shd w:val="clear" w:fill="F2F2F2"/>
          </w:tcPr>
          <w:p>
            <w:r>
              <w:rPr>
                <w:b/>
              </w:rPr>
              <w:t>修复建议</w:t>
            </w:r>
          </w:p>
        </w:tc>
        <w:tc>
          <w:tcPr>
            <w:tcW w:type="dxa" w:w="7488"/>
          </w:tcPr>
          <w:p>
            <w:r>
              <w:t>关键接口引入请求签名 + 时间戳 + nonce 防重放；启用 HTTPS 保障传输完整性。</w:t>
            </w:r>
          </w:p>
        </w:tc>
      </w:tr>
      <w:tr>
        <w:tc>
          <w:tcPr>
            <w:tcW w:type="dxa" w:w="1872"/>
            <w:shd w:val="clear" w:fill="F2F2F2"/>
          </w:tcPr>
          <w:p>
            <w:r>
              <w:rPr>
                <w:b/>
              </w:rPr>
              <w:t>备注</w:t>
            </w:r>
          </w:p>
        </w:tc>
        <w:tc>
          <w:tcPr>
            <w:tcW w:type="dxa" w:w="7488"/>
          </w:tcPr>
          <w:p>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登录配置页‘是否启用验证码=否’，登录环节无验证码；实测 /captcha/image 返回空图，确认验证码未启用。缺失验证码使自动化撞库仅依赖失败锁定（5 次/5 分钟）缓解。</w:t>
            </w:r>
          </w:p>
        </w:tc>
      </w:tr>
      <w:tr>
        <w:tc>
          <w:tcPr>
            <w:tcW w:type="dxa" w:w="1872"/>
            <w:shd w:val="clear" w:fill="F2F2F2"/>
          </w:tcPr>
          <w:p>
            <w:r>
              <w:rPr>
                <w:b/>
              </w:rPr>
              <w:t>修复建议</w:t>
            </w:r>
          </w:p>
        </w:tc>
        <w:tc>
          <w:tcPr>
            <w:tcW w:type="dxa" w:w="7488"/>
          </w:tcPr>
          <w:p>
            <w:r>
              <w:t>登录启用图形/行为验证码，与失败锁定共同防护自动化爆破。</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03_captcha_off.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 登录配置（验证码未启用）</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系统无开放自助注册入口（仅 /auth/login，账号由管理员在后台创建）；自助改密 /user/profile/password 强制校验旧密码与新密码非空/强度；邮箱找回接口 /captcha/mail 需先通过行为验证（captchaVerification 不能为空），未发现不安全的密码找回流程。</w:t>
            </w:r>
          </w:p>
        </w:tc>
      </w:tr>
      <w:tr>
        <w:tc>
          <w:tcPr>
            <w:tcW w:type="dxa" w:w="1872"/>
            <w:shd w:val="clear" w:fill="F2F2F2"/>
          </w:tcPr>
          <w:p>
            <w:r>
              <w:rPr>
                <w:b/>
              </w:rPr>
              <w:t>修复建议</w:t>
            </w:r>
          </w:p>
        </w:tc>
        <w:tc>
          <w:tcPr>
            <w:tcW w:type="dxa" w:w="7488"/>
          </w:tcPr>
          <w:p>
            <w:r>
              <w:t>维持无开放注册与改密强校验；密码找回全程绑定验证码与频率限制。</w:t>
            </w:r>
          </w:p>
        </w:tc>
      </w:tr>
      <w:tr>
        <w:tc>
          <w:tcPr>
            <w:tcW w:type="dxa" w:w="1872"/>
            <w:shd w:val="clear" w:fill="F2F2F2"/>
          </w:tcPr>
          <w:p>
            <w:r>
              <w:rPr>
                <w:b/>
              </w:rPr>
              <w:t>备注</w:t>
            </w:r>
          </w:p>
        </w:tc>
        <w:tc>
          <w:tcPr>
            <w:tcW w:type="dxa" w:w="7488"/>
          </w:tcPr>
          <w:p>
            <w:r/>
          </w:p>
        </w:tc>
      </w:tr>
    </w:tbl>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管理员（super_admin）及普通用户登录均仅需‘用户名+密码’，未强制双因素（短信/OTP）认证；后端虽具备短信/邮件验证码能力但登录环节未启用双因素。</w:t>
            </w:r>
          </w:p>
        </w:tc>
      </w:tr>
      <w:tr>
        <w:tc>
          <w:tcPr>
            <w:tcW w:type="dxa" w:w="1872"/>
            <w:shd w:val="clear" w:fill="F2F2F2"/>
          </w:tcPr>
          <w:p>
            <w:r>
              <w:rPr>
                <w:b/>
              </w:rPr>
              <w:t>修复建议</w:t>
            </w:r>
          </w:p>
        </w:tc>
        <w:tc>
          <w:tcPr>
            <w:tcW w:type="dxa" w:w="7488"/>
          </w:tcPr>
          <w:p>
            <w:r>
              <w:t>对管理员及敏感角色强制启用双因素认证（短信/OTP/邮箱）。</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经授权创建测试账号（管理员设定初始口令），以该账号登录成功后 /auth/user/info 返回 pwdResetTime 已置为创建时间、pwdExpired=false，且可直接访问业务路由，系统未强制其首次登录修改初始口令。测试账号已删除。</w:t>
            </w:r>
          </w:p>
        </w:tc>
      </w:tr>
      <w:tr>
        <w:tc>
          <w:tcPr>
            <w:tcW w:type="dxa" w:w="1872"/>
            <w:shd w:val="clear" w:fill="F2F2F2"/>
          </w:tcPr>
          <w:p>
            <w:r>
              <w:rPr>
                <w:b/>
              </w:rPr>
              <w:t>修复建议</w:t>
            </w:r>
          </w:p>
        </w:tc>
        <w:tc>
          <w:tcPr>
            <w:tcW w:type="dxa" w:w="7488"/>
          </w:tcPr>
          <w:p>
            <w:r>
              <w:t>新建/重置账号后强制首次登录修改初始口令；并移除登录页默认账号预填。</w:t>
            </w:r>
          </w:p>
        </w:tc>
      </w:tr>
      <w:tr>
        <w:tc>
          <w:tcPr>
            <w:tcW w:type="dxa" w:w="1872"/>
            <w:shd w:val="clear" w:fill="F2F2F2"/>
          </w:tcPr>
          <w:p>
            <w:r>
              <w:rPr>
                <w:b/>
              </w:rPr>
              <w:t>备注</w:t>
            </w:r>
          </w:p>
        </w:tc>
        <w:tc>
          <w:tcPr>
            <w:tcW w:type="dxa" w:w="7488"/>
          </w:tcPr>
          <w:p>
            <w:r>
              <w:t>已授权创建验证并清理；未强制首登改密</w:t>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登录失败统一返回‘用户名或密码不正确’，不区分账号是否存在（避免用户名枚举）；且配合失败锁定机制。</w:t>
            </w:r>
          </w:p>
        </w:tc>
      </w:tr>
      <w:tr>
        <w:tc>
          <w:tcPr>
            <w:tcW w:type="dxa" w:w="1872"/>
            <w:shd w:val="clear" w:fill="F2F2F2"/>
          </w:tcPr>
          <w:p>
            <w:r>
              <w:rPr>
                <w:b/>
              </w:rPr>
              <w:t>修复建议</w:t>
            </w:r>
          </w:p>
        </w:tc>
        <w:tc>
          <w:tcPr>
            <w:tcW w:type="dxa" w:w="7488"/>
          </w:tcPr>
          <w:p>
            <w:r>
              <w:t>维持统一失败提示与锁定策略。</w:t>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安全配置显示‘密码错误锁定阈值=5 次、锁定时长=5 分钟’，具备多次失败登录账号锁定机制。</w:t>
            </w:r>
          </w:p>
        </w:tc>
      </w:tr>
      <w:tr>
        <w:tc>
          <w:tcPr>
            <w:tcW w:type="dxa" w:w="1872"/>
            <w:shd w:val="clear" w:fill="F2F2F2"/>
          </w:tcPr>
          <w:p>
            <w:r>
              <w:rPr>
                <w:b/>
              </w:rPr>
              <w:t>修复建议</w:t>
            </w:r>
          </w:p>
        </w:tc>
        <w:tc>
          <w:tcPr>
            <w:tcW w:type="dxa" w:w="7488"/>
          </w:tcPr>
          <w:p>
            <w:r>
              <w:t>维持失败锁定策略，可结合验证码进一步加强。</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02_sec_config.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失败锁定策略</w:t>
      </w:r>
    </w:p>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登录页密码框以掩码（●）显示；口令经 RSA 公钥加密后提交（非明文传参）；用户列表/详情接口不返回口令字段。</w:t>
            </w:r>
          </w:p>
        </w:tc>
      </w:tr>
      <w:tr>
        <w:tc>
          <w:tcPr>
            <w:tcW w:type="dxa" w:w="1872"/>
            <w:shd w:val="clear" w:fill="F2F2F2"/>
          </w:tcPr>
          <w:p>
            <w:r>
              <w:rPr>
                <w:b/>
              </w:rPr>
              <w:t>修复建议</w:t>
            </w:r>
          </w:p>
        </w:tc>
        <w:tc>
          <w:tcPr>
            <w:tcW w:type="dxa" w:w="7488"/>
          </w:tcPr>
          <w:p>
            <w:r>
              <w:t>维持密码掩码与加密提交。</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fig01_login_http.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 登录页（密码掩码显示）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安全配置页显示：最小密码长度 8、历史 3 次不可重复、失败锁定 5 次；但存在弱化项——‘允许密码包含用户名=是’、‘必须包含特殊字符=否’、‘密码有效期=0（永不过期）’，降低了口令强度与轮换要求。</w:t>
            </w:r>
          </w:p>
        </w:tc>
      </w:tr>
      <w:tr>
        <w:tc>
          <w:tcPr>
            <w:tcW w:type="dxa" w:w="1872"/>
            <w:shd w:val="clear" w:fill="F2F2F2"/>
          </w:tcPr>
          <w:p>
            <w:r>
              <w:rPr>
                <w:b/>
              </w:rPr>
              <w:t>修复建议</w:t>
            </w:r>
          </w:p>
        </w:tc>
        <w:tc>
          <w:tcPr>
            <w:tcW w:type="dxa" w:w="7488"/>
          </w:tcPr>
          <w:p>
            <w:r>
              <w:t>禁止密码包含用户名、强制包含特殊字符、设置合理密码有效期（如 90 天）并强制到期改密。</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fig02_sec_config.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安全策略配置（密码/锁定策略）</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安全配置未提供‘长期未登录自动停用’选项，系统缺少对长期不活跃账号的自动锁定/停用机制。</w:t>
            </w:r>
          </w:p>
        </w:tc>
      </w:tr>
      <w:tr>
        <w:tc>
          <w:tcPr>
            <w:tcW w:type="dxa" w:w="1872"/>
            <w:shd w:val="clear" w:fill="F2F2F2"/>
          </w:tcPr>
          <w:p>
            <w:r>
              <w:rPr>
                <w:b/>
              </w:rPr>
              <w:t>修复建议</w:t>
            </w:r>
          </w:p>
        </w:tc>
        <w:tc>
          <w:tcPr>
            <w:tcW w:type="dxa" w:w="7488"/>
          </w:tcPr>
          <w:p>
            <w:r>
              <w:t>增加长期未登录（如 90 天）自动停用账号机制。</w:t>
            </w:r>
          </w:p>
        </w:tc>
      </w:tr>
      <w:tr>
        <w:tc>
          <w:tcPr>
            <w:tcW w:type="dxa" w:w="1872"/>
            <w:shd w:val="clear" w:fill="F2F2F2"/>
          </w:tcPr>
          <w:p>
            <w:r>
              <w:rPr>
                <w:b/>
              </w:rPr>
              <w:t>备注</w:t>
            </w:r>
          </w:p>
        </w:tc>
        <w:tc>
          <w:tcPr>
            <w:tcW w:type="dxa" w:w="7488"/>
          </w:tcPr>
          <w:p>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用户具备唯一 username 与雪花 ID 标识；角色标识明确（super_admin 超级管理员 / general 普通用户）；/auth/user/info 返回 roles 与 permissions 用于鉴权。</w:t>
            </w:r>
          </w:p>
        </w:tc>
      </w:tr>
      <w:tr>
        <w:tc>
          <w:tcPr>
            <w:tcW w:type="dxa" w:w="1872"/>
            <w:shd w:val="clear" w:fill="F2F2F2"/>
          </w:tcPr>
          <w:p>
            <w:r>
              <w:rPr>
                <w:b/>
              </w:rPr>
              <w:t>修复建议</w:t>
            </w:r>
          </w:p>
        </w:tc>
        <w:tc>
          <w:tcPr>
            <w:tcW w:type="dxa" w:w="7488"/>
          </w:tcPr>
          <w:p>
            <w:r>
              <w:t>维持唯一用户/角色标识。</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6" name="Picture 6"/>
            <wp:cNvGraphicFramePr>
              <a:graphicFrameLocks noChangeAspect="1"/>
            </wp:cNvGraphicFramePr>
            <a:graphic>
              <a:graphicData uri="http://schemas.openxmlformats.org/drawingml/2006/picture">
                <pic:pic>
                  <pic:nvPicPr>
                    <pic:cNvPr id="0" name="fig04_user_mask.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 用户管理（用户标识）</w:t>
      </w:r>
    </w:p>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采用基于角色的访问控制（RBAC）：super_admin 拥有 *:*:*，general 仅 shopgoods:* 细粒度权限；菜单与接口按用户权限下发。</w:t>
            </w:r>
          </w:p>
        </w:tc>
      </w:tr>
      <w:tr>
        <w:tc>
          <w:tcPr>
            <w:tcW w:type="dxa" w:w="1872"/>
            <w:shd w:val="clear" w:fill="F2F2F2"/>
          </w:tcPr>
          <w:p>
            <w:r>
              <w:rPr>
                <w:b/>
              </w:rPr>
              <w:t>修复建议</w:t>
            </w:r>
          </w:p>
        </w:tc>
        <w:tc>
          <w:tcPr>
            <w:tcW w:type="dxa" w:w="7488"/>
          </w:tcPr>
          <w:p>
            <w:r>
              <w:t>维持最小权限的 RBAC 设计。</w:t>
            </w:r>
          </w:p>
        </w:tc>
      </w:tr>
      <w:tr>
        <w:tc>
          <w:tcPr>
            <w:tcW w:type="dxa" w:w="1872"/>
            <w:shd w:val="clear" w:fill="F2F2F2"/>
          </w:tcPr>
          <w:p>
            <w:r>
              <w:rPr>
                <w:b/>
              </w:rPr>
              <w:t>备注</w:t>
            </w:r>
          </w:p>
        </w:tc>
        <w:tc>
          <w:tcPr>
            <w:tcW w:type="dxa" w:w="7488"/>
          </w:tcPr>
          <w:p>
            <w:r/>
          </w:p>
        </w:tc>
      </w:tr>
    </w:tbl>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以普通用户 user1（general）令牌调用管理员接口 /api/system/user、/api/system/role/list 等均返回业务码 403‘没有访问权限’，admin 正常访问；服务端纵向越权控制有效。普通用户业务模块为共享字典数据（非用户私有对象），未发现对象级水平越权面。</w:t>
            </w:r>
          </w:p>
        </w:tc>
      </w:tr>
      <w:tr>
        <w:tc>
          <w:tcPr>
            <w:tcW w:type="dxa" w:w="1872"/>
            <w:shd w:val="clear" w:fill="F2F2F2"/>
          </w:tcPr>
          <w:p>
            <w:r>
              <w:rPr>
                <w:b/>
              </w:rPr>
              <w:t>修复建议</w:t>
            </w:r>
          </w:p>
        </w:tc>
        <w:tc>
          <w:tcPr>
            <w:tcW w:type="dxa" w:w="7488"/>
          </w:tcPr>
          <w:p>
            <w:r>
              <w:t>维持服务端逐接口鉴权，持续覆盖新增接口。</w:t>
            </w:r>
          </w:p>
        </w:tc>
      </w:tr>
      <w:tr>
        <w:tc>
          <w:tcPr>
            <w:tcW w:type="dxa" w:w="1872"/>
            <w:shd w:val="clear" w:fill="F2F2F2"/>
          </w:tcPr>
          <w:p>
            <w:r>
              <w:rPr>
                <w:b/>
              </w:rPr>
              <w:t>备注</w:t>
            </w:r>
          </w:p>
        </w:tc>
        <w:tc>
          <w:tcPr>
            <w:tcW w:type="dxa" w:w="7488"/>
          </w:tcPr>
          <w:p>
            <w:r>
              <w:t>双账号（admin/user1）对照验证</w:t>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会话令牌（Sa-Token JWT）存储于浏览器 localStorage，而非 HttpOnly Cookie；缺少 HttpOnly/Secure/SameSite 保护，一旦发生 XSS 令牌易被窃取。</w:t>
            </w:r>
          </w:p>
        </w:tc>
      </w:tr>
      <w:tr>
        <w:tc>
          <w:tcPr>
            <w:tcW w:type="dxa" w:w="1872"/>
            <w:shd w:val="clear" w:fill="F2F2F2"/>
          </w:tcPr>
          <w:p>
            <w:r>
              <w:rPr>
                <w:b/>
              </w:rPr>
              <w:t>修复建议</w:t>
            </w:r>
          </w:p>
        </w:tc>
        <w:tc>
          <w:tcPr>
            <w:tcW w:type="dxa" w:w="7488"/>
          </w:tcPr>
          <w:p>
            <w:r>
              <w:t>会话令牌改用 HttpOnly+Secure+SameSite Cookie 存储，或在存储层加强 XSS 防护。</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以任意 Origin（http://evil.example）发起的跨域 GET 与预检 OPTIONS 均被后端拒绝（403 Invalid CORS request），未回显 Access-Control-Allow-Origin，未开放凭据跨域。CORS 策略严格。</w:t>
            </w:r>
          </w:p>
        </w:tc>
      </w:tr>
      <w:tr>
        <w:tc>
          <w:tcPr>
            <w:tcW w:type="dxa" w:w="1872"/>
            <w:shd w:val="clear" w:fill="F2F2F2"/>
          </w:tcPr>
          <w:p>
            <w:r>
              <w:rPr>
                <w:b/>
              </w:rPr>
              <w:t>修复建议</w:t>
            </w:r>
          </w:p>
        </w:tc>
        <w:tc>
          <w:tcPr>
            <w:tcW w:type="dxa" w:w="7488"/>
          </w:tcPr>
          <w:p>
            <w:r>
              <w:t>维持 CORS 白名单策略。</w:t>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系统提供登出功能，登录日志中可见‘登出’行为记录并成功；采用 Sa-Token 服务端会话管理。</w:t>
            </w:r>
          </w:p>
        </w:tc>
      </w:tr>
      <w:tr>
        <w:tc>
          <w:tcPr>
            <w:tcW w:type="dxa" w:w="1872"/>
            <w:shd w:val="clear" w:fill="F2F2F2"/>
          </w:tcPr>
          <w:p>
            <w:r>
              <w:rPr>
                <w:b/>
              </w:rPr>
              <w:t>修复建议</w:t>
            </w:r>
          </w:p>
        </w:tc>
        <w:tc>
          <w:tcPr>
            <w:tcW w:type="dxa" w:w="7488"/>
          </w:tcPr>
          <w:p>
            <w:r>
              <w:t>确保登出即服务端注销令牌。</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05_login_log.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 登录/登出审计日志</w:t>
      </w:r>
    </w:p>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解码会话 JWT 载荷未包含 exp 有效期声明，且未观察到前端空闲超时机制；令牌长期有效并存于 localStorage，一旦泄露可长时间复用。</w:t>
            </w:r>
          </w:p>
        </w:tc>
      </w:tr>
      <w:tr>
        <w:tc>
          <w:tcPr>
            <w:tcW w:type="dxa" w:w="1872"/>
            <w:shd w:val="clear" w:fill="F2F2F2"/>
          </w:tcPr>
          <w:p>
            <w:r>
              <w:rPr>
                <w:b/>
              </w:rPr>
              <w:t>修复建议</w:t>
            </w:r>
          </w:p>
        </w:tc>
        <w:tc>
          <w:tcPr>
            <w:tcW w:type="dxa" w:w="7488"/>
          </w:tcPr>
          <w:p>
            <w:r>
              <w:t>设置合理的会话空闲超时与令牌有效期，超时或空闲后强制重新认证。</w:t>
            </w:r>
          </w:p>
        </w:tc>
      </w:tr>
      <w:tr>
        <w:tc>
          <w:tcPr>
            <w:tcW w:type="dxa" w:w="1872"/>
            <w:shd w:val="clear" w:fill="F2F2F2"/>
          </w:tcPr>
          <w:p>
            <w:r>
              <w:rPr>
                <w:b/>
              </w:rPr>
              <w:t>备注</w:t>
            </w:r>
          </w:p>
        </w:tc>
        <w:tc>
          <w:tcPr>
            <w:tcW w:type="dxa" w:w="7488"/>
          </w:tcPr>
          <w:p>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会话标识为 JWT（HS256）含随机串，签名有效性经服务端强校验：篡改 loginId 载荷及使用 alg:none 伪造均返回业务码 401，令牌不可预测、不可伪造。</w:t>
            </w:r>
          </w:p>
        </w:tc>
      </w:tr>
      <w:tr>
        <w:tc>
          <w:tcPr>
            <w:tcW w:type="dxa" w:w="1872"/>
            <w:shd w:val="clear" w:fill="F2F2F2"/>
          </w:tcPr>
          <w:p>
            <w:r>
              <w:rPr>
                <w:b/>
              </w:rPr>
              <w:t>修复建议</w:t>
            </w:r>
          </w:p>
        </w:tc>
        <w:tc>
          <w:tcPr>
            <w:tcW w:type="dxa" w:w="7488"/>
          </w:tcPr>
          <w:p>
            <w:r>
              <w:t>维持强签名校验；妥善保管 HS256 密钥。</w:t>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每次登录服务端签发全新令牌，未使用可被预置/固定的会话标识，未发现会话固定风险。</w:t>
            </w:r>
          </w:p>
        </w:tc>
      </w:tr>
      <w:tr>
        <w:tc>
          <w:tcPr>
            <w:tcW w:type="dxa" w:w="1872"/>
            <w:shd w:val="clear" w:fill="F2F2F2"/>
          </w:tcPr>
          <w:p>
            <w:r>
              <w:rPr>
                <w:b/>
              </w:rPr>
              <w:t>修复建议</w:t>
            </w:r>
          </w:p>
        </w:tc>
        <w:tc>
          <w:tcPr>
            <w:tcW w:type="dxa" w:w="7488"/>
          </w:tcPr>
          <w:p>
            <w:r>
              <w:t>维持登录后重新签发会话标识。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前端打包 JS 硬编码静态 AES 密钥（16 位，ECB 模式）下发所有客户端，任何人可从前端提取，无法提供真实保密能力（安全性依赖混淆）；登录用 RSA 公钥前端公开属设计合理项。</w:t>
            </w:r>
          </w:p>
        </w:tc>
      </w:tr>
      <w:tr>
        <w:tc>
          <w:tcPr>
            <w:tcW w:type="dxa" w:w="1872"/>
            <w:shd w:val="clear" w:fill="F2F2F2"/>
          </w:tcPr>
          <w:p>
            <w:r>
              <w:rPr>
                <w:b/>
              </w:rPr>
              <w:t>修复建议</w:t>
            </w:r>
          </w:p>
        </w:tc>
        <w:tc>
          <w:tcPr>
            <w:tcW w:type="dxa" w:w="7488"/>
          </w:tcPr>
          <w:p>
            <w:r>
              <w:t>避免前端硬编码对称密钥；敏感数据加密改由后端处理或使用一次性会话密钥。</w:t>
            </w:r>
          </w:p>
        </w:tc>
      </w:tr>
      <w:tr>
        <w:tc>
          <w:tcPr>
            <w:tcW w:type="dxa" w:w="1872"/>
            <w:shd w:val="clear" w:fill="F2F2F2"/>
          </w:tcPr>
          <w:p>
            <w:r>
              <w:rPr>
                <w:b/>
              </w:rPr>
              <w:t>备注</w:t>
            </w:r>
          </w:p>
        </w:tc>
        <w:tc>
          <w:tcPr>
            <w:tcW w:type="dxa" w:w="7488"/>
          </w:tcPr>
          <w:p>
            <w:r>
              <w:t>密钥原文已脱敏不在报告体现</w:t>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前端打包 JS 与接口响应中未发现云服务 AK/SK（OSS/地图等）明文硬编码；对象存储密钥由后端保管，未下发前端。</w:t>
            </w:r>
          </w:p>
        </w:tc>
      </w:tr>
      <w:tr>
        <w:tc>
          <w:tcPr>
            <w:tcW w:type="dxa" w:w="1872"/>
            <w:shd w:val="clear" w:fill="F2F2F2"/>
          </w:tcPr>
          <w:p>
            <w:r>
              <w:rPr>
                <w:b/>
              </w:rPr>
              <w:t>修复建议</w:t>
            </w:r>
          </w:p>
        </w:tc>
        <w:tc>
          <w:tcPr>
            <w:tcW w:type="dxa" w:w="7488"/>
          </w:tcPr>
          <w:p>
            <w:r>
              <w:t>持续避免 AK/SK 硬编码；使用 STS 临时凭证。</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向分页参数传入非法类型时，后端返回 Java 类型转换异常详情（Failed to convert value ... java.lang.Integer ...），泄露框架与内部类型信息；畸形 JSON、不存在 ID 返回通用服务器错误。</w:t>
            </w:r>
          </w:p>
        </w:tc>
      </w:tr>
      <w:tr>
        <w:tc>
          <w:tcPr>
            <w:tcW w:type="dxa" w:w="1872"/>
            <w:shd w:val="clear" w:fill="F2F2F2"/>
          </w:tcPr>
          <w:p>
            <w:r>
              <w:rPr>
                <w:b/>
              </w:rPr>
              <w:t>修复建议</w:t>
            </w:r>
          </w:p>
        </w:tc>
        <w:tc>
          <w:tcPr>
            <w:tcW w:type="dxa" w:w="7488"/>
          </w:tcPr>
          <w:p>
            <w:r>
              <w:t>统一异常处理，向客户端返回通用错误提示，详细堆栈仅记入服务端日志。</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经授权对 /api/system/file/upload 做上传验证：.txt 在白名单内被接受；.html、.svg、.jsp 均被拒‘不支持的文件类型（仅支持 jpg,png,txt,pdf,doc,xls... 等）’。服务端严格扩展名白名单，无法上传脚本/木马。测试文件已删除。</w:t>
            </w:r>
          </w:p>
        </w:tc>
      </w:tr>
      <w:tr>
        <w:tc>
          <w:tcPr>
            <w:tcW w:type="dxa" w:w="1872"/>
            <w:shd w:val="clear" w:fill="F2F2F2"/>
          </w:tcPr>
          <w:p>
            <w:r>
              <w:rPr>
                <w:b/>
              </w:rPr>
              <w:t>修复建议</w:t>
            </w:r>
          </w:p>
        </w:tc>
        <w:tc>
          <w:tcPr>
            <w:tcW w:type="dxa" w:w="7488"/>
          </w:tcPr>
          <w:p>
            <w:r>
              <w:t>维持白名单校验，并对内容做类型嗅探与存储隔离（禁执行目录）。</w:t>
            </w:r>
          </w:p>
        </w:tc>
      </w:tr>
      <w:tr>
        <w:tc>
          <w:tcPr>
            <w:tcW w:type="dxa" w:w="1872"/>
            <w:shd w:val="clear" w:fill="F2F2F2"/>
          </w:tcPr>
          <w:p>
            <w:r>
              <w:rPr>
                <w:b/>
              </w:rPr>
              <w:t>备注</w:t>
            </w:r>
          </w:p>
        </w:tc>
        <w:tc>
          <w:tcPr>
            <w:tcW w:type="dxa" w:w="7488"/>
          </w:tcPr>
          <w:p>
            <w:r>
              <w:t>已授权写测试并清理</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系统无按任意路径下载文件的接口；文件通过对象存储 URL 访问，未发现路径遍历下载入口（对存储/下载相关参数注入 ../ 未见任意文件读取）。</w:t>
            </w:r>
          </w:p>
        </w:tc>
      </w:tr>
      <w:tr>
        <w:tc>
          <w:tcPr>
            <w:tcW w:type="dxa" w:w="1872"/>
            <w:shd w:val="clear" w:fill="F2F2F2"/>
          </w:tcPr>
          <w:p>
            <w:r>
              <w:rPr>
                <w:b/>
              </w:rPr>
              <w:t>修复建议</w:t>
            </w:r>
          </w:p>
        </w:tc>
        <w:tc>
          <w:tcPr>
            <w:tcW w:type="dxa" w:w="7488"/>
          </w:tcPr>
          <w:p>
            <w:r>
              <w:t>文件访问继续基于对象存储与鉴权，避免直接暴露服务器文件路径。</w:t>
            </w:r>
          </w:p>
        </w:tc>
      </w:tr>
      <w:tr>
        <w:tc>
          <w:tcPr>
            <w:tcW w:type="dxa" w:w="1872"/>
            <w:shd w:val="clear" w:fill="F2F2F2"/>
          </w:tcPr>
          <w:p>
            <w:r>
              <w:rPr>
                <w:b/>
              </w:rPr>
              <w:t>备注</w:t>
            </w:r>
          </w:p>
        </w:tc>
        <w:tc>
          <w:tcPr>
            <w:tcW w:type="dxa" w:w="7488"/>
          </w:tcPr>
          <w:p>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经授权对字典创建接口并发提交 6 条相同键值记录，仅 1 条成功，其余 5 条被拒‘相同原始商品名称与分类范围的映射已存在’，读回确认仅 1 条，唯一性约束在并发下有效，未出现条件竞争导致的重复写入。测试记录已删除。</w:t>
            </w:r>
          </w:p>
        </w:tc>
      </w:tr>
      <w:tr>
        <w:tc>
          <w:tcPr>
            <w:tcW w:type="dxa" w:w="1872"/>
            <w:shd w:val="clear" w:fill="F2F2F2"/>
          </w:tcPr>
          <w:p>
            <w:r>
              <w:rPr>
                <w:b/>
              </w:rPr>
              <w:t>修复建议</w:t>
            </w:r>
          </w:p>
        </w:tc>
        <w:tc>
          <w:tcPr>
            <w:tcW w:type="dxa" w:w="7488"/>
          </w:tcPr>
          <w:p>
            <w:r>
              <w:t>维持数据库唯一约束/乐观锁，持续覆盖其他并发敏感业务。</w:t>
            </w:r>
          </w:p>
        </w:tc>
      </w:tr>
      <w:tr>
        <w:tc>
          <w:tcPr>
            <w:tcW w:type="dxa" w:w="1872"/>
            <w:shd w:val="clear" w:fill="F2F2F2"/>
          </w:tcPr>
          <w:p>
            <w:r>
              <w:rPr>
                <w:b/>
              </w:rPr>
              <w:t>备注</w:t>
            </w:r>
          </w:p>
        </w:tc>
        <w:tc>
          <w:tcPr>
            <w:tcW w:type="dxa" w:w="7488"/>
          </w:tcPr>
          <w:p>
            <w:r>
              <w:t>已授权并发写测试并清理</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创建字典等写接口对必填字段（sourceName/standardName）与参数类型（page/size 需整型）做服务端校验，非法类型返回业务码 400；空值/越界参数被拦截。</w:t>
            </w:r>
          </w:p>
        </w:tc>
      </w:tr>
      <w:tr>
        <w:tc>
          <w:tcPr>
            <w:tcW w:type="dxa" w:w="1872"/>
            <w:shd w:val="clear" w:fill="F2F2F2"/>
          </w:tcPr>
          <w:p>
            <w:r>
              <w:rPr>
                <w:b/>
              </w:rPr>
              <w:t>修复建议</w:t>
            </w:r>
          </w:p>
        </w:tc>
        <w:tc>
          <w:tcPr>
            <w:tcW w:type="dxa" w:w="7488"/>
          </w:tcPr>
          <w:p>
            <w:r>
              <w:t>维持服务端强类型与业务规则校验。</w:t>
            </w:r>
          </w:p>
        </w:tc>
      </w:tr>
      <w:tr>
        <w:tc>
          <w:tcPr>
            <w:tcW w:type="dxa" w:w="1872"/>
            <w:shd w:val="clear" w:fill="F2F2F2"/>
          </w:tcPr>
          <w:p>
            <w:r>
              <w:rPr>
                <w:b/>
              </w:rPr>
              <w:t>备注</w:t>
            </w:r>
          </w:p>
        </w:tc>
        <w:tc>
          <w:tcPr>
            <w:tcW w:type="dxa" w:w="7488"/>
          </w:tcPr>
          <w:p>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为避免影响生产业务流程，未对多步业务流程做跳步/越序等非预期执行测试。</w:t>
            </w:r>
          </w:p>
        </w:tc>
      </w:tr>
      <w:tr>
        <w:tc>
          <w:tcPr>
            <w:tcW w:type="dxa" w:w="1872"/>
            <w:shd w:val="clear" w:fill="F2F2F2"/>
          </w:tcPr>
          <w:p>
            <w:r>
              <w:rPr>
                <w:b/>
              </w:rPr>
              <w:t>修复建议</w:t>
            </w:r>
          </w:p>
        </w:tc>
        <w:tc>
          <w:tcPr>
            <w:tcW w:type="dxa" w:w="7488"/>
          </w:tcPr>
          <w:p>
            <w:r>
              <w:t>对多步业务流程做服务端状态机校验，防止跳步与越序提交。</w:t>
            </w:r>
          </w:p>
        </w:tc>
      </w:tr>
      <w:tr>
        <w:tc>
          <w:tcPr>
            <w:tcW w:type="dxa" w:w="1872"/>
            <w:shd w:val="clear" w:fill="F2F2F2"/>
          </w:tcPr>
          <w:p>
            <w:r>
              <w:rPr>
                <w:b/>
              </w:rPr>
              <w:t>备注</w:t>
            </w:r>
          </w:p>
        </w:tc>
        <w:tc>
          <w:tcPr>
            <w:tcW w:type="dxa" w:w="7488"/>
          </w:tcPr>
          <w:p>
            <w:r>
              <w:t>避免影响生产，未做流程越序测试</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系统监控模块提供登录日志、操作日志与在线用户，记录登录/登出、查询与增删改等操作行为。</w:t>
            </w:r>
          </w:p>
        </w:tc>
      </w:tr>
      <w:tr>
        <w:tc>
          <w:tcPr>
            <w:tcW w:type="dxa" w:w="1872"/>
            <w:shd w:val="clear" w:fill="F2F2F2"/>
          </w:tcPr>
          <w:p>
            <w:r>
              <w:rPr>
                <w:b/>
              </w:rPr>
              <w:t>修复建议</w:t>
            </w:r>
          </w:p>
        </w:tc>
        <w:tc>
          <w:tcPr>
            <w:tcW w:type="dxa" w:w="7488"/>
          </w:tcPr>
          <w:p>
            <w:r>
              <w:t>维持全量审计并覆盖关键业务操作。</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8" name="Picture 8"/>
            <wp:cNvGraphicFramePr>
              <a:graphicFrameLocks noChangeAspect="1"/>
            </wp:cNvGraphicFramePr>
            <a:graphic>
              <a:graphicData uri="http://schemas.openxmlformats.org/drawingml/2006/picture">
                <pic:pic>
                  <pic:nvPicPr>
                    <pic:cNvPr id="0" name="fig06_op_log.png"/>
                    <pic:cNvPicPr/>
                  </pic:nvPicPr>
                  <pic:blipFill>
                    <a:blip r:embed="rId15"/>
                    <a:stretch>
                      <a:fillRect/>
                    </a:stretch>
                  </pic:blipFill>
                  <pic:spPr>
                    <a:xfrm>
                      <a:off x="0" y="0"/>
                      <a:ext cx="4937760" cy="2777490"/>
                    </a:xfrm>
                    <a:prstGeom prst="rect"/>
                  </pic:spPr>
                </pic:pic>
              </a:graphicData>
            </a:graphic>
          </wp:inline>
        </w:drawing>
      </w:r>
    </w:p>
    <w:p>
      <w:pPr>
        <w:jc w:val="center"/>
      </w:pPr>
      <w:r>
        <w:rPr>
          <w:i/>
          <w:sz w:val="18"/>
        </w:rPr>
        <w:t>图: 操作审计日志</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操作日志含操作时间、操作人、操作内容、所属模块、状态、IP、归属地、耗时、浏览器、终端系统，并可查看详情；登录日志含登录行为、状态、IP、归属地、浏览器/系统。审计内容完备。</w:t>
            </w:r>
          </w:p>
        </w:tc>
      </w:tr>
      <w:tr>
        <w:tc>
          <w:tcPr>
            <w:tcW w:type="dxa" w:w="1872"/>
            <w:shd w:val="clear" w:fill="F2F2F2"/>
          </w:tcPr>
          <w:p>
            <w:r>
              <w:rPr>
                <w:b/>
              </w:rPr>
              <w:t>修复建议</w:t>
            </w:r>
          </w:p>
        </w:tc>
        <w:tc>
          <w:tcPr>
            <w:tcW w:type="dxa" w:w="7488"/>
          </w:tcPr>
          <w:p>
            <w:r>
              <w:t>维持完整审计字段，敏感字段注意脱敏。</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fig06_op_log.png"/>
                    <pic:cNvPicPr/>
                  </pic:nvPicPr>
                  <pic:blipFill>
                    <a:blip r:embed="rId15"/>
                    <a:stretch>
                      <a:fillRect/>
                    </a:stretch>
                  </pic:blipFill>
                  <pic:spPr>
                    <a:xfrm>
                      <a:off x="0" y="0"/>
                      <a:ext cx="4937760" cy="2777490"/>
                    </a:xfrm>
                    <a:prstGeom prst="rect"/>
                  </pic:spPr>
                </pic:pic>
              </a:graphicData>
            </a:graphic>
          </wp:inline>
        </w:drawing>
      </w:r>
    </w:p>
    <w:p>
      <w:pPr>
        <w:jc w:val="center"/>
      </w:pPr>
      <w:r>
        <w:rPr>
          <w:i/>
          <w:sz w:val="18"/>
        </w:rPr>
        <w:t>图: 审计内容字段</w:t>
      </w:r>
    </w:p>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日志持久化于服务端并支持分页查询与导出，存在历史留存记录，审计数据可追溯可查询。</w:t>
            </w:r>
          </w:p>
        </w:tc>
      </w:tr>
      <w:tr>
        <w:tc>
          <w:tcPr>
            <w:tcW w:type="dxa" w:w="1872"/>
            <w:shd w:val="clear" w:fill="F2F2F2"/>
          </w:tcPr>
          <w:p>
            <w:r>
              <w:rPr>
                <w:b/>
              </w:rPr>
              <w:t>修复建议</w:t>
            </w:r>
          </w:p>
        </w:tc>
        <w:tc>
          <w:tcPr>
            <w:tcW w:type="dxa" w:w="7488"/>
          </w:tcPr>
          <w:p>
            <w:r>
              <w:t>对审计日志设置足够留存期与防篡改（如集中日志/只读存储）。</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fig05_login_log.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 审计日志留存与查询</w:t>
      </w:r>
    </w:p>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全站采用 HTTP 明文。经本机 TCP 代理对实际链路逐字节抓包取证：登录请求（口令经 RSA 加密）与后续认证请求头 Authorization: Bearer &lt;JWT 会话令牌&gt; 均以明文经 HTTP 传输（响应 Server: nginx/1.30.2）。攻击者在链路中间可直接嗅探截获会话令牌并重放接管会话。（抓包内容口令/令牌已脱敏）</w:t>
            </w:r>
          </w:p>
        </w:tc>
      </w:tr>
      <w:tr>
        <w:tc>
          <w:tcPr>
            <w:tcW w:type="dxa" w:w="1872"/>
            <w:shd w:val="clear" w:fill="F2F2F2"/>
          </w:tcPr>
          <w:p>
            <w:r>
              <w:rPr>
                <w:b/>
              </w:rPr>
              <w:t>修复建议</w:t>
            </w:r>
          </w:p>
        </w:tc>
        <w:tc>
          <w:tcPr>
            <w:tcW w:type="dxa" w:w="7488"/>
          </w:tcPr>
          <w:p>
            <w:r>
              <w:t>全站强制启用 HTTPS/TLS 并配置 HSTS，敏感数据与会话令牌全程加密传输。</w:t>
            </w:r>
          </w:p>
        </w:tc>
      </w:tr>
      <w:tr>
        <w:tc>
          <w:tcPr>
            <w:tcW w:type="dxa" w:w="1872"/>
            <w:shd w:val="clear" w:fill="F2F2F2"/>
          </w:tcPr>
          <w:p>
            <w:r>
              <w:rPr>
                <w:b/>
              </w:rPr>
              <w:t>备注</w:t>
            </w:r>
          </w:p>
        </w:tc>
        <w:tc>
          <w:tcPr>
            <w:tcW w:type="dxa" w:w="7488"/>
          </w:tcPr>
          <w:p>
            <w:r>
              <w:t>抓包取证，口令/令牌已脱敏</w:t>
            </w:r>
          </w:p>
        </w:tc>
      </w:tr>
    </w:tbl>
    <w:p>
      <w:pPr>
        <w:jc w:val="center"/>
      </w:pPr>
      <w:r>
        <w:drawing>
          <wp:inline xmlns:a="http://schemas.openxmlformats.org/drawingml/2006/main" xmlns:pic="http://schemas.openxmlformats.org/drawingml/2006/picture">
            <wp:extent cx="4937760" cy="4987975"/>
            <wp:docPr id="11" name="Picture 11"/>
            <wp:cNvGraphicFramePr>
              <a:graphicFrameLocks noChangeAspect="1"/>
            </wp:cNvGraphicFramePr>
            <a:graphic>
              <a:graphicData uri="http://schemas.openxmlformats.org/drawingml/2006/picture">
                <pic:pic>
                  <pic:nvPicPr>
                    <pic:cNvPr id="0" name="fig09_packet_capture.png"/>
                    <pic:cNvPicPr/>
                  </pic:nvPicPr>
                  <pic:blipFill>
                    <a:blip r:embed="rId16"/>
                    <a:stretch>
                      <a:fillRect/>
                    </a:stretch>
                  </pic:blipFill>
                  <pic:spPr>
                    <a:xfrm>
                      <a:off x="0" y="0"/>
                      <a:ext cx="4937760" cy="4987975"/>
                    </a:xfrm>
                    <a:prstGeom prst="rect"/>
                  </pic:spPr>
                </pic:pic>
              </a:graphicData>
            </a:graphic>
          </wp:inline>
        </w:drawing>
      </w:r>
    </w:p>
    <w:p>
      <w:pPr>
        <w:jc w:val="center"/>
      </w:pPr>
      <w:r>
        <w:rPr>
          <w:i/>
          <w:sz w:val="18"/>
        </w:rPr>
        <w:t>图: 链路抓包——会话令牌(Bearer JWT)经 HTTP 明文传输</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用户列表对手机号/邮箱做掩码展示，但用户详情接口 /api/system/user/{id} 与用户导出 Excel 返回完整明文手机号与邮箱，脱敏仅在列表展示层实现，详情/导出可绕过。</w:t>
            </w:r>
          </w:p>
        </w:tc>
      </w:tr>
      <w:tr>
        <w:tc>
          <w:tcPr>
            <w:tcW w:type="dxa" w:w="1872"/>
            <w:shd w:val="clear" w:fill="F2F2F2"/>
          </w:tcPr>
          <w:p>
            <w:r>
              <w:rPr>
                <w:b/>
              </w:rPr>
              <w:t>修复建议</w:t>
            </w:r>
          </w:p>
        </w:tc>
        <w:tc>
          <w:tcPr>
            <w:tcW w:type="dxa" w:w="7488"/>
          </w:tcPr>
          <w:p>
            <w:r>
              <w:t>在服务端统一对 PII 做脱敏，详情与导出按需授权并默认脱敏，导出敏感字段单独审批。</w:t>
            </w:r>
          </w:p>
        </w:tc>
      </w:tr>
      <w:tr>
        <w:tc>
          <w:tcPr>
            <w:tcW w:type="dxa" w:w="1872"/>
            <w:shd w:val="clear" w:fill="F2F2F2"/>
          </w:tcPr>
          <w:p>
            <w:r>
              <w:rPr>
                <w:b/>
              </w:rPr>
              <w:t>备注</w:t>
            </w:r>
          </w:p>
        </w:tc>
        <w:tc>
          <w:tcPr>
            <w:tcW w:type="dxa" w:w="7488"/>
          </w:tcPr>
          <w:p>
            <w:r>
              <w:t>PII 已脱敏，不在报告体现原文</w:t>
            </w:r>
          </w:p>
        </w:tc>
      </w:tr>
    </w:tbl>
    <w:p>
      <w:pPr>
        <w:jc w:val="center"/>
      </w:pPr>
      <w:r>
        <w:drawing>
          <wp:inline xmlns:a="http://schemas.openxmlformats.org/drawingml/2006/main" xmlns:pic="http://schemas.openxmlformats.org/drawingml/2006/picture">
            <wp:extent cx="4937760" cy="2777490"/>
            <wp:docPr id="12" name="Picture 12"/>
            <wp:cNvGraphicFramePr>
              <a:graphicFrameLocks noChangeAspect="1"/>
            </wp:cNvGraphicFramePr>
            <a:graphic>
              <a:graphicData uri="http://schemas.openxmlformats.org/drawingml/2006/picture">
                <pic:pic>
                  <pic:nvPicPr>
                    <pic:cNvPr id="0" name="fig04_user_mask.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 用户列表手机号/邮箱掩码（详情/导出未脱敏）</w:t>
      </w:r>
    </w:p>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数据导出（用户/字典）需认证并受权限控制、且有操作留痕，但导出内容包含未脱敏 PII（手机号/邮箱明文），缺少导出脱敏与二次审批/水印。</w:t>
            </w:r>
          </w:p>
        </w:tc>
      </w:tr>
      <w:tr>
        <w:tc>
          <w:tcPr>
            <w:tcW w:type="dxa" w:w="1872"/>
            <w:shd w:val="clear" w:fill="F2F2F2"/>
          </w:tcPr>
          <w:p>
            <w:r>
              <w:rPr>
                <w:b/>
              </w:rPr>
              <w:t>修复建议</w:t>
            </w:r>
          </w:p>
        </w:tc>
        <w:tc>
          <w:tcPr>
            <w:tcW w:type="dxa" w:w="7488"/>
          </w:tcPr>
          <w:p>
            <w:r>
              <w:t>导出内容默认脱敏，敏感导出增加审批与水印，并限制导出频率与范围。</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系统未启用 HTTPS，全站 HTTP 明文访问，未配置 HSTS。缺少传输层加密使口令/令牌/业务数据面临中间人窃取与篡改风险。</w:t>
            </w:r>
          </w:p>
        </w:tc>
      </w:tr>
      <w:tr>
        <w:tc>
          <w:tcPr>
            <w:tcW w:type="dxa" w:w="1872"/>
            <w:shd w:val="clear" w:fill="F2F2F2"/>
          </w:tcPr>
          <w:p>
            <w:r>
              <w:rPr>
                <w:b/>
              </w:rPr>
              <w:t>修复建议</w:t>
            </w:r>
          </w:p>
        </w:tc>
        <w:tc>
          <w:tcPr>
            <w:tcW w:type="dxa" w:w="7488"/>
          </w:tcPr>
          <w:p>
            <w:r>
              <w:t>部署有效证书强制 HTTPS，启用 HSTS，HTTP 自动 301 跳转 HTTPS。</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3" name="Picture 13"/>
            <wp:cNvGraphicFramePr>
              <a:graphicFrameLocks noChangeAspect="1"/>
            </wp:cNvGraphicFramePr>
            <a:graphic>
              <a:graphicData uri="http://schemas.openxmlformats.org/drawingml/2006/picture">
                <pic:pic>
                  <pic:nvPicPr>
                    <pic:cNvPr id="0" name="fig01_login_http.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 未启用 HTTPS（HTTP 明文）</w:t>
      </w:r>
    </w:p>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TRACE 方法返回 405（已禁用），PATCH 不支持业务；PUT/DELETE 为受认证与权限保护的 REST 方法。未发现危险 HTTP 方法开放。</w:t>
            </w:r>
          </w:p>
        </w:tc>
      </w:tr>
      <w:tr>
        <w:tc>
          <w:tcPr>
            <w:tcW w:type="dxa" w:w="1872"/>
            <w:shd w:val="clear" w:fill="F2F2F2"/>
          </w:tcPr>
          <w:p>
            <w:r>
              <w:rPr>
                <w:b/>
              </w:rPr>
              <w:t>修复建议</w:t>
            </w:r>
          </w:p>
        </w:tc>
        <w:tc>
          <w:tcPr>
            <w:tcW w:type="dxa" w:w="7488"/>
          </w:tcPr>
          <w:p>
            <w:r>
              <w:t>维持仅开放必要 HTTP 方法。</w:t>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存在最小长度 8 的口令策略与失败锁定（5 次/5 分钟），弱口令受限；登录页默认演示口令已失效（管理员口令已改为强口令）；为避免触发锁定未做爆破。</w:t>
            </w:r>
          </w:p>
        </w:tc>
      </w:tr>
      <w:tr>
        <w:tc>
          <w:tcPr>
            <w:tcW w:type="dxa" w:w="1872"/>
            <w:shd w:val="clear" w:fill="F2F2F2"/>
          </w:tcPr>
          <w:p>
            <w:r>
              <w:rPr>
                <w:b/>
              </w:rPr>
              <w:t>修复建议</w:t>
            </w:r>
          </w:p>
        </w:tc>
        <w:tc>
          <w:tcPr>
            <w:tcW w:type="dxa" w:w="7488"/>
          </w:tcPr>
          <w:p>
            <w:r>
              <w:t>结合强口令策略、验证码与锁定持续防护弱口令。</w:t>
            </w:r>
          </w:p>
        </w:tc>
      </w:tr>
      <w:tr>
        <w:tc>
          <w:tcPr>
            <w:tcW w:type="dxa" w:w="1872"/>
            <w:shd w:val="clear" w:fill="F2F2F2"/>
          </w:tcPr>
          <w:p>
            <w:r>
              <w:rPr>
                <w:b/>
              </w:rPr>
              <w:t>备注</w:t>
            </w:r>
          </w:p>
        </w:tc>
        <w:tc>
          <w:tcPr>
            <w:tcW w:type="dxa" w:w="7488"/>
          </w:tcPr>
          <w:p>
            <w:r>
              <w:t>未做爆破以免锁定账号</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经授权创建含 XSS 载荷（&lt;img src=x onerror=...&gt;）的字典记录，服务端未做输入过滤/转义，原样入库并经 API 原样返回；当前前端 Arco/Vue 默认对文本转义，测试视图未触发脚本执行。属输入校验/输出编码缺口（纵深防御不足），未观测到实际执行。测试数据已删除。</w:t>
            </w:r>
          </w:p>
        </w:tc>
      </w:tr>
      <w:tr>
        <w:tc>
          <w:tcPr>
            <w:tcW w:type="dxa" w:w="1872"/>
            <w:shd w:val="clear" w:fill="F2F2F2"/>
          </w:tcPr>
          <w:p>
            <w:r>
              <w:rPr>
                <w:b/>
              </w:rPr>
              <w:t>修复建议</w:t>
            </w:r>
          </w:p>
        </w:tc>
        <w:tc>
          <w:tcPr>
            <w:tcW w:type="dxa" w:w="7488"/>
          </w:tcPr>
          <w:p>
            <w:r>
              <w:t>服务端对用户输入统一过滤/转义，前端渲染坚持默认转义、禁用 v-html 渲染不可信内容。</w:t>
            </w:r>
          </w:p>
        </w:tc>
      </w:tr>
      <w:tr>
        <w:tc>
          <w:tcPr>
            <w:tcW w:type="dxa" w:w="1872"/>
            <w:shd w:val="clear" w:fill="F2F2F2"/>
          </w:tcPr>
          <w:p>
            <w:r>
              <w:rPr>
                <w:b/>
              </w:rPr>
              <w:t>备注</w:t>
            </w:r>
          </w:p>
        </w:tc>
        <w:tc>
          <w:tcPr>
            <w:tcW w:type="dxa" w:w="7488"/>
          </w:tcPr>
          <w:p>
            <w:r>
              <w:t>已授权写测试并清理；未观测到实际执行</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系统接口均为 JSON 交互，未发现 XML 解析入口，XXE 不涉及。</w:t>
            </w:r>
          </w:p>
        </w:tc>
      </w:tr>
      <w:tr>
        <w:tc>
          <w:tcPr>
            <w:tcW w:type="dxa" w:w="1872"/>
            <w:shd w:val="clear" w:fill="F2F2F2"/>
          </w:tcPr>
          <w:p>
            <w:r>
              <w:rPr>
                <w:b/>
              </w:rPr>
              <w:t>修复建议</w:t>
            </w:r>
          </w:p>
        </w:tc>
        <w:tc>
          <w:tcPr>
            <w:tcW w:type="dxa" w:w="7488"/>
          </w:tcPr>
          <w:p>
            <w:r>
              <w:t>如后续引入 XML 解析，须禁用外部实体。</w:t>
            </w:r>
          </w:p>
        </w:tc>
      </w:tr>
      <w:tr>
        <w:tc>
          <w:tcPr>
            <w:tcW w:type="dxa" w:w="1872"/>
            <w:shd w:val="clear" w:fill="F2F2F2"/>
          </w:tcPr>
          <w:p>
            <w:r>
              <w:rPr>
                <w:b/>
              </w:rPr>
              <w:t>备注</w:t>
            </w:r>
          </w:p>
        </w:tc>
        <w:tc>
          <w:tcPr>
            <w:tcW w:type="dxa" w:w="7488"/>
          </w:tcPr>
          <w:p>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认证采用 Bearer 令牌（放置于 Authorization 请求头，非 Cookie 自动携带），且 CORS 策略严格；跨站请求无法自动携带令牌，CSRF 风险低。</w:t>
            </w:r>
          </w:p>
        </w:tc>
      </w:tr>
      <w:tr>
        <w:tc>
          <w:tcPr>
            <w:tcW w:type="dxa" w:w="1872"/>
            <w:shd w:val="clear" w:fill="F2F2F2"/>
          </w:tcPr>
          <w:p>
            <w:r>
              <w:rPr>
                <w:b/>
              </w:rPr>
              <w:t>修复建议</w:t>
            </w:r>
          </w:p>
        </w:tc>
        <w:tc>
          <w:tcPr>
            <w:tcW w:type="dxa" w:w="7488"/>
          </w:tcPr>
          <w:p>
            <w:r>
              <w:t>维持基于请求头的令牌认证与严格 CORS。</w:t>
            </w:r>
          </w:p>
        </w:tc>
      </w:tr>
      <w:tr>
        <w:tc>
          <w:tcPr>
            <w:tcW w:type="dxa" w:w="1872"/>
            <w:shd w:val="clear" w:fill="F2F2F2"/>
          </w:tcPr>
          <w:p>
            <w:r>
              <w:rPr>
                <w:b/>
              </w:rPr>
              <w:t>备注</w:t>
            </w:r>
          </w:p>
        </w:tc>
        <w:tc>
          <w:tcPr>
            <w:tcW w:type="dxa" w:w="7488"/>
          </w:tcPr>
          <w:p>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未在业务接口中发现明显的服务端 URL 拉取入口；存储配置连通性测试等潜在 SSRF 面属管理员配置且具较高影响，未在生产深测。</w:t>
            </w:r>
          </w:p>
        </w:tc>
      </w:tr>
      <w:tr>
        <w:tc>
          <w:tcPr>
            <w:tcW w:type="dxa" w:w="1872"/>
            <w:shd w:val="clear" w:fill="F2F2F2"/>
          </w:tcPr>
          <w:p>
            <w:r>
              <w:rPr>
                <w:b/>
              </w:rPr>
              <w:t>修复建议</w:t>
            </w:r>
          </w:p>
        </w:tc>
        <w:tc>
          <w:tcPr>
            <w:tcW w:type="dxa" w:w="7488"/>
          </w:tcPr>
          <w:p>
            <w:r>
              <w:t>对任何服务端发起外部请求的功能做地址白名单与内网地址过滤。</w:t>
            </w:r>
          </w:p>
        </w:tc>
      </w:tr>
      <w:tr>
        <w:tc>
          <w:tcPr>
            <w:tcW w:type="dxa" w:w="1872"/>
            <w:shd w:val="clear" w:fill="F2F2F2"/>
          </w:tcPr>
          <w:p>
            <w:r>
              <w:rPr>
                <w:b/>
              </w:rPr>
              <w:t>备注</w:t>
            </w:r>
          </w:p>
        </w:tc>
        <w:tc>
          <w:tcPr>
            <w:tcW w:type="dxa" w:w="7488"/>
          </w:tcPr>
          <w:p>
            <w:r>
              <w:t>避免影响生产，未深测</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对列表检索参数注入单引号、' OR '1'='1、注释符等，返回结果与基线一致、无数据库报错、无布尔差异，判定为参数化查询。</w:t>
            </w:r>
          </w:p>
        </w:tc>
      </w:tr>
      <w:tr>
        <w:tc>
          <w:tcPr>
            <w:tcW w:type="dxa" w:w="1872"/>
            <w:shd w:val="clear" w:fill="F2F2F2"/>
          </w:tcPr>
          <w:p>
            <w:r>
              <w:rPr>
                <w:b/>
              </w:rPr>
              <w:t>修复建议</w:t>
            </w:r>
          </w:p>
        </w:tc>
        <w:tc>
          <w:tcPr>
            <w:tcW w:type="dxa" w:w="7488"/>
          </w:tcPr>
          <w:p>
            <w:r>
              <w:t>维持参数化查询/ORM，避免拼接 SQL。</w:t>
            </w:r>
          </w:p>
        </w:tc>
      </w:tr>
      <w:tr>
        <w:tc>
          <w:tcPr>
            <w:tcW w:type="dxa" w:w="1872"/>
            <w:shd w:val="clear" w:fill="F2F2F2"/>
          </w:tcPr>
          <w:p>
            <w:r>
              <w:rPr>
                <w:b/>
              </w:rPr>
              <w:t>备注</w:t>
            </w:r>
          </w:p>
        </w:tc>
        <w:tc>
          <w:tcPr>
            <w:tcW w:type="dxa" w:w="7488"/>
          </w:tcPr>
          <w:p>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认证与用户查询走数据库（Sa-Token + MyBatis），未使用 LDAP 目录服务，LDAP 注入不涉及。</w:t>
            </w:r>
          </w:p>
        </w:tc>
      </w:tr>
      <w:tr>
        <w:tc>
          <w:tcPr>
            <w:tcW w:type="dxa" w:w="1872"/>
            <w:shd w:val="clear" w:fill="F2F2F2"/>
          </w:tcPr>
          <w:p>
            <w:r>
              <w:rPr>
                <w:b/>
              </w:rPr>
              <w:t>修复建议</w:t>
            </w:r>
          </w:p>
        </w:tc>
        <w:tc>
          <w:tcPr>
            <w:tcW w:type="dxa" w:w="7488"/>
          </w:tcPr>
          <w:p>
            <w:r>
              <w:t>如后续接入 LDAP，须对查询过滤特殊字符。</w:t>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系统为 JSON REST 接口，无按用户参数包含本地/远程文件的功能入口，文件包含（LFI/RFI）不涉及。</w:t>
            </w:r>
          </w:p>
        </w:tc>
      </w:tr>
      <w:tr>
        <w:tc>
          <w:tcPr>
            <w:tcW w:type="dxa" w:w="1872"/>
            <w:shd w:val="clear" w:fill="F2F2F2"/>
          </w:tcPr>
          <w:p>
            <w:r>
              <w:rPr>
                <w:b/>
              </w:rPr>
              <w:t>修复建议</w:t>
            </w:r>
          </w:p>
        </w:tc>
        <w:tc>
          <w:tcPr>
            <w:tcW w:type="dxa" w:w="7488"/>
          </w:tcPr>
          <w:p>
            <w:r>
              <w:t>如引入模板/文件包含功能，须限制路径并禁用远程包含。</w:t>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接口数据交互为 JSON（Jackson），无原生 Java 序列化入口；构造含多态类型标记（@type: java.net.URL 等）的 JSON 提交，@type 被当作未知字段忽略、未触发多态反序列化利用，未启用默认类型处理。测试记录已删除。</w:t>
            </w:r>
          </w:p>
        </w:tc>
      </w:tr>
      <w:tr>
        <w:tc>
          <w:tcPr>
            <w:tcW w:type="dxa" w:w="1872"/>
            <w:shd w:val="clear" w:fill="F2F2F2"/>
          </w:tcPr>
          <w:p>
            <w:r>
              <w:rPr>
                <w:b/>
              </w:rPr>
              <w:t>修复建议</w:t>
            </w:r>
          </w:p>
        </w:tc>
        <w:tc>
          <w:tcPr>
            <w:tcW w:type="dxa" w:w="7488"/>
          </w:tcPr>
          <w:p>
            <w:r>
              <w:t>持续禁用默认多态类型处理，如需多态则限制类型白名单。</w:t>
            </w:r>
          </w:p>
        </w:tc>
      </w:tr>
      <w:tr>
        <w:tc>
          <w:tcPr>
            <w:tcW w:type="dxa" w:w="1872"/>
            <w:shd w:val="clear" w:fill="F2F2F2"/>
          </w:tcPr>
          <w:p>
            <w:r>
              <w:rPr>
                <w:b/>
              </w:rPr>
              <w:t>备注</w:t>
            </w:r>
          </w:p>
        </w:tc>
        <w:tc>
          <w:tcPr>
            <w:tcW w:type="dxa" w:w="7488"/>
          </w:tcPr>
          <w:p>
            <w:r>
              <w:t>已授权探测并清理</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经授权在字典字段提交命令注入 payload（形如 ...;id|`id`$(id)），读回内容与输入完全一致（按字符串原样存储），未被解释执行，无命令注入。测试记录已删除。</w:t>
            </w:r>
          </w:p>
        </w:tc>
      </w:tr>
      <w:tr>
        <w:tc>
          <w:tcPr>
            <w:tcW w:type="dxa" w:w="1872"/>
            <w:shd w:val="clear" w:fill="F2F2F2"/>
          </w:tcPr>
          <w:p>
            <w:r>
              <w:rPr>
                <w:b/>
              </w:rPr>
              <w:t>修复建议</w:t>
            </w:r>
          </w:p>
        </w:tc>
        <w:tc>
          <w:tcPr>
            <w:tcW w:type="dxa" w:w="7488"/>
          </w:tcPr>
          <w:p>
            <w:r>
              <w:t>维持不将用户输入拼接进系统命令；如必须调用则严格白名单校验。</w:t>
            </w:r>
          </w:p>
        </w:tc>
      </w:tr>
      <w:tr>
        <w:tc>
          <w:tcPr>
            <w:tcW w:type="dxa" w:w="1872"/>
            <w:shd w:val="clear" w:fill="F2F2F2"/>
          </w:tcPr>
          <w:p>
            <w:r>
              <w:rPr>
                <w:b/>
              </w:rPr>
              <w:t>备注</w:t>
            </w:r>
          </w:p>
        </w:tc>
        <w:tc>
          <w:tcPr>
            <w:tcW w:type="dxa" w:w="7488"/>
          </w:tcPr>
          <w:p>
            <w:r>
              <w:t>已授权探测并清理</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对登录页与首页页面源进行检查，未发现暗链、隐藏跳转或黑帽 SEO 注入内容。</w:t>
            </w:r>
          </w:p>
        </w:tc>
      </w:tr>
      <w:tr>
        <w:tc>
          <w:tcPr>
            <w:tcW w:type="dxa" w:w="1872"/>
            <w:shd w:val="clear" w:fill="F2F2F2"/>
          </w:tcPr>
          <w:p>
            <w:r>
              <w:rPr>
                <w:b/>
              </w:rPr>
              <w:t>修复建议</w:t>
            </w:r>
          </w:p>
        </w:tc>
        <w:tc>
          <w:tcPr>
            <w:tcW w:type="dxa" w:w="7488"/>
          </w:tcPr>
          <w:p>
            <w:r>
              <w:t>维持页面完整性监控。</w:t>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后端为 Spring Boot（ContiNew-Admin）+ Sa-Token。构造 Spring4Shell（CVE-2022-22965）class.module.classLoader 绑定探测参数，接口正常返回、未被利用；未发现该框架漏洞中招迹象（组件精确补丁版本建议以运维基线为准）。</w:t>
            </w:r>
          </w:p>
        </w:tc>
      </w:tr>
      <w:tr>
        <w:tc>
          <w:tcPr>
            <w:tcW w:type="dxa" w:w="1872"/>
            <w:shd w:val="clear" w:fill="F2F2F2"/>
          </w:tcPr>
          <w:p>
            <w:r>
              <w:rPr>
                <w:b/>
              </w:rPr>
              <w:t>修复建议</w:t>
            </w:r>
          </w:p>
        </w:tc>
        <w:tc>
          <w:tcPr>
            <w:tcW w:type="dxa" w:w="7488"/>
          </w:tcPr>
          <w:p>
            <w:r>
              <w:t>核对框架/中间件精确版本并比对 CVE，保持安全版本与补丁更新。</w:t>
            </w:r>
          </w:p>
        </w:tc>
      </w:tr>
      <w:tr>
        <w:tc>
          <w:tcPr>
            <w:tcW w:type="dxa" w:w="1872"/>
            <w:shd w:val="clear" w:fill="F2F2F2"/>
          </w:tcPr>
          <w:p>
            <w:r>
              <w:rPr>
                <w:b/>
              </w:rPr>
              <w:t>备注</w:t>
            </w:r>
          </w:p>
        </w:tc>
        <w:tc>
          <w:tcPr>
            <w:tcW w:type="dxa" w:w="7488"/>
          </w:tcPr>
          <w:p>
            <w:r>
              <w:t>Spring4Shell 探测未中招</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接口文档门户 /api/doc.html（Nextdoc4j）与 /api/v3/api-docs（约 912KB 全量 OpenAPI 规范，含 500+ 接口）无需认证即可访问；业务接口本身需认证（未授权返回 401）。文档未授权暴露向攻击者泄露全部接口、参数与数据模型。</w:t>
            </w:r>
          </w:p>
        </w:tc>
      </w:tr>
      <w:tr>
        <w:tc>
          <w:tcPr>
            <w:tcW w:type="dxa" w:w="1872"/>
            <w:shd w:val="clear" w:fill="F2F2F2"/>
          </w:tcPr>
          <w:p>
            <w:r>
              <w:rPr>
                <w:b/>
              </w:rPr>
              <w:t>修复建议</w:t>
            </w:r>
          </w:p>
        </w:tc>
        <w:tc>
          <w:tcPr>
            <w:tcW w:type="dxa" w:w="7488"/>
          </w:tcPr>
          <w:p>
            <w:r>
              <w:t>生产环境关闭或对接口文档（doc.html / v3/api-docs）做鉴权与 IP 限制。</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4" name="Picture 14"/>
            <wp:cNvGraphicFramePr>
              <a:graphicFrameLocks noChangeAspect="1"/>
            </wp:cNvGraphicFramePr>
            <a:graphic>
              <a:graphicData uri="http://schemas.openxmlformats.org/drawingml/2006/picture">
                <pic:pic>
                  <pic:nvPicPr>
                    <pic:cNvPr id="0" name="fig07_apidocs.png"/>
                    <pic:cNvPicPr/>
                  </pic:nvPicPr>
                  <pic:blipFill>
                    <a:blip r:embed="rId17"/>
                    <a:stretch>
                      <a:fillRect/>
                    </a:stretch>
                  </pic:blipFill>
                  <pic:spPr>
                    <a:xfrm>
                      <a:off x="0" y="0"/>
                      <a:ext cx="4937760" cy="2777490"/>
                    </a:xfrm>
                    <a:prstGeom prst="rect"/>
                  </pic:spPr>
                </pic:pic>
              </a:graphicData>
            </a:graphic>
          </wp:inline>
        </w:drawing>
      </w:r>
    </w:p>
    <w:p>
      <w:pPr>
        <w:jc w:val="center"/>
      </w:pPr>
      <w:r>
        <w:rPr>
          <w:i/>
          <w:sz w:val="18"/>
        </w:rPr>
        <w:t>图: 未授权可访问的接口文档门户</w:t>
      </w:r>
    </w:p>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存在敏感信息泄露：Server 响应头泄露 nginx 版本、异常响应泄露 Java 框架内部类型信息、文件上传返回内部对象存储地址（http://localhost:8000/...）。</w:t>
            </w:r>
          </w:p>
        </w:tc>
      </w:tr>
      <w:tr>
        <w:tc>
          <w:tcPr>
            <w:tcW w:type="dxa" w:w="1872"/>
            <w:shd w:val="clear" w:fill="F2F2F2"/>
          </w:tcPr>
          <w:p>
            <w:r>
              <w:rPr>
                <w:b/>
              </w:rPr>
              <w:t>修复建议</w:t>
            </w:r>
          </w:p>
        </w:tc>
        <w:tc>
          <w:tcPr>
            <w:tcW w:type="dxa" w:w="7488"/>
          </w:tcPr>
          <w:p>
            <w:r>
              <w:t>隐藏版本信息、统一异常输出、对外返回网关地址而非内部服务地址。</w:t>
            </w:r>
          </w:p>
        </w:tc>
      </w:tr>
      <w:tr>
        <w:tc>
          <w:tcPr>
            <w:tcW w:type="dxa" w:w="1872"/>
            <w:shd w:val="clear" w:fill="F2F2F2"/>
          </w:tcPr>
          <w:p>
            <w:r>
              <w:rPr>
                <w:b/>
              </w:rPr>
              <w:t>备注</w:t>
            </w:r>
          </w:p>
        </w:tc>
        <w:tc>
          <w:tcPr>
            <w:tcW w:type="dxa" w:w="7488"/>
          </w:tcPr>
          <w:p>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登录处存在失败锁定（5 次/5 分钟），为避免触发管理员账号锁定，未对登录成功/失败做重复请求的精确处理用时时序测量。</w:t>
            </w:r>
          </w:p>
        </w:tc>
      </w:tr>
      <w:tr>
        <w:tc>
          <w:tcPr>
            <w:tcW w:type="dxa" w:w="1872"/>
            <w:shd w:val="clear" w:fill="F2F2F2"/>
          </w:tcPr>
          <w:p>
            <w:r>
              <w:rPr>
                <w:b/>
              </w:rPr>
              <w:t>修复建议</w:t>
            </w:r>
          </w:p>
        </w:tc>
        <w:tc>
          <w:tcPr>
            <w:tcW w:type="dxa" w:w="7488"/>
          </w:tcPr>
          <w:p>
            <w:r>
              <w:t>对认证等敏感操作保持恒定响应时延，避免时序侧信道区分账号是否存在。</w:t>
            </w:r>
          </w:p>
        </w:tc>
      </w:tr>
      <w:tr>
        <w:tc>
          <w:tcPr>
            <w:tcW w:type="dxa" w:w="1872"/>
            <w:shd w:val="clear" w:fill="F2F2F2"/>
          </w:tcPr>
          <w:p>
            <w:r>
              <w:rPr>
                <w:b/>
              </w:rPr>
              <w:t>备注</w:t>
            </w:r>
          </w:p>
        </w:tc>
        <w:tc>
          <w:tcPr>
            <w:tcW w:type="dxa" w:w="7488"/>
          </w:tcPr>
          <w:p>
            <w:r>
              <w:t>避免锁定账号，未做时序测量</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