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东风商用车MNO平台</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委托单位：东风商用车有限公司</w:t>
      </w:r>
    </w:p>
    <w:p>
      <w:pPr>
        <w:jc w:val="center"/>
      </w:pPr>
      <w:r>
        <w:rPr>
          <w:rFonts w:ascii="微软雅黑" w:hAnsi="微软雅黑" w:eastAsia="微软雅黑"/>
          <w:b w:val="0"/>
          <w:sz w:val="26"/>
        </w:rPr>
        <w:t>测试人员：安全测试组</w:t>
      </w:r>
    </w:p>
    <w:p>
      <w:pPr>
        <w:jc w:val="center"/>
      </w:pPr>
      <w:r>
        <w:rPr>
          <w:rFonts w:ascii="微软雅黑" w:hAnsi="微软雅黑" w:eastAsia="微软雅黑"/>
          <w:b w:val="0"/>
          <w:sz w:val="26"/>
        </w:rPr>
        <w:t>测试日期：2026年07月22日</w:t>
      </w:r>
    </w:p>
    <w:p/>
    <w:p/>
    <w:p/>
    <w:p/>
    <w:p/>
    <w:p/>
    <w:p>
      <w:pPr>
        <w:jc w:val="center"/>
      </w:pPr>
      <w:r>
        <w:rPr>
          <w:rFonts w:ascii="微软雅黑" w:hAnsi="微软雅黑" w:eastAsia="微软雅黑"/>
          <w:b w:val="0"/>
          <w:sz w:val="24"/>
        </w:rPr>
        <w:t>安全测试组</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https://mno.dfcv.com.cn/otportal/ 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 Web Security Testing Guide v4.2》</w:t>
      </w:r>
    </w:p>
    <w:p>
      <w:pPr>
        <w:pStyle w:val="ListBullet"/>
      </w:pPr>
      <w:r>
        <w:t>《OWASP Top 10:2025》</w:t>
      </w:r>
    </w:p>
    <w:p>
      <w:pPr>
        <w:pStyle w:val="ListBullet"/>
      </w:pPr>
      <w:r>
        <w:t>《PTES 渗透测试执行标准》</w:t>
      </w:r>
    </w:p>
    <w:p>
      <w:pPr>
        <w:pStyle w:val="ListBullet"/>
      </w:pPr>
      <w:r>
        <w:t>《ISO/IEC 27001:2022 信息安全管理体系》</w:t>
      </w:r>
    </w:p>
    <w:p>
      <w:pPr>
        <w:pStyle w:val="ListBullet"/>
      </w:pPr>
      <w:r>
        <w:t>《GB/T 22239-2019 信息安全技术 网络安全等级保护基本要求》</w:t>
      </w:r>
    </w:p>
    <w:p>
      <w:pPr>
        <w:pStyle w:val="ListBullet"/>
      </w:pPr>
      <w:r>
        <w:t>《GB/T 30279-2020 信息安全技术 网络安全漏洞分类分级指南》</w:t>
      </w:r>
    </w:p>
    <w:p>
      <w:pPr>
        <w:pStyle w:val="ListBullet"/>
      </w:pPr>
      <w:r>
        <w:t>《GB/T 30276-2020 信息安全技术 网络安全漏洞管理规范》</w:t>
      </w:r>
    </w:p>
    <w:p>
      <w:pPr>
        <w:pStyle w:val="ListBullet"/>
      </w:pPr>
      <w:r>
        <w:t>《GB/T 40856-2021 车载信息交互系统信息安全技术要求及试验方法》</w:t>
      </w:r>
    </w:p>
    <w:p>
      <w:pPr>
        <w:pStyle w:val="ListBullet"/>
      </w:pPr>
      <w:r>
        <w:t>《汽车数据安全管理若干规定（试行）》</w:t>
      </w:r>
    </w:p>
    <w:p>
      <w:pPr>
        <w:pStyle w:val="ListBullet"/>
      </w:pPr>
      <w:r>
        <w:t>《UN R155 关于汽车网络安全的统一规定》</w:t>
      </w:r>
    </w:p>
    <w:p>
      <w:pPr>
        <w:pStyle w:val="ListBullet"/>
      </w:pPr>
      <w:r>
        <w:t>《UN R156 关于汽车软件升级的统一规定》</w:t>
      </w:r>
    </w:p>
    <w:p>
      <w:pPr>
        <w:pStyle w:val="ListBullet"/>
      </w:pPr>
      <w:r>
        <w:t>《中华人民共和国网络安全法》（2025 修正，2026-01-01 施行）</w:t>
      </w:r>
    </w:p>
    <w:p>
      <w:pPr>
        <w:pStyle w:val="ListBullet"/>
      </w:pPr>
      <w:r>
        <w:t>《中华人民共和国数据安全法》</w:t>
      </w:r>
    </w:p>
    <w:p>
      <w:pPr>
        <w:pStyle w:val="ListBullet"/>
      </w:pPr>
      <w:r>
        <w:t>《中华人民共和国个人信息保护法》</w:t>
      </w:r>
    </w:p>
    <w:p>
      <w:r>
        <w:rPr>
          <w:i/>
        </w:rPr>
        <w:t>注：上述标准每次执行检测前应重新核对是否有更新版本。</w:t>
      </w:r>
    </w:p>
    <w:p>
      <w:pPr>
        <w:pStyle w:val="Heading2"/>
      </w:pPr>
      <w:r>
        <w:t>适用说明</w:t>
      </w:r>
    </w:p>
    <w:p>
      <w:r>
        <w:rPr>
          <w:i w:val="0"/>
        </w:rPr>
        <w:t>针对软件应用（含移动服务端、C/S 服务端等）开展应用安全检测，本次被测对象为 东风商用车MNO平台，不涉及主机、配置等其他检测。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避免造成被测评系统的性能明显下降、网络拥塞、服务中断等；不删除或修改数据、不触发破坏性操作、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浏览器 + 开发者工具</w:t>
            </w:r>
          </w:p>
        </w:tc>
        <w:tc>
          <w:tcPr>
            <w:tcW w:type="dxa" w:w="2880"/>
          </w:tcPr>
          <w:p>
            <w:r>
              <w:t>手工检测</w:t>
            </w:r>
          </w:p>
        </w:tc>
        <w:tc>
          <w:tcPr>
            <w:tcW w:type="dxa" w:w="2880"/>
          </w:tcPr>
          <w:p>
            <w:r>
              <w:t>页面/JS/请求响应/CORS/HTTP方法观察取证</w:t>
            </w:r>
          </w:p>
        </w:tc>
      </w:tr>
      <w:tr>
        <w:tc>
          <w:tcPr>
            <w:tcW w:type="dxa" w:w="2880"/>
          </w:tcPr>
          <w:p>
            <w:r>
              <w:t>Playwright(连接已授权浏览器)</w:t>
            </w:r>
          </w:p>
        </w:tc>
        <w:tc>
          <w:tcPr>
            <w:tcW w:type="dxa" w:w="2880"/>
          </w:tcPr>
          <w:p>
            <w:r>
              <w:t>手工检测</w:t>
            </w:r>
          </w:p>
        </w:tc>
        <w:tc>
          <w:tcPr>
            <w:tcW w:type="dxa" w:w="2880"/>
          </w:tcPr>
          <w:p>
            <w:r>
              <w:t>认证态请求捕获与双账号越权对比</w:t>
            </w:r>
          </w:p>
        </w:tc>
      </w:tr>
      <w:tr>
        <w:tc>
          <w:tcPr>
            <w:tcW w:type="dxa" w:w="2880"/>
          </w:tcPr>
          <w:p>
            <w:r>
              <w:t>curl</w:t>
            </w:r>
          </w:p>
        </w:tc>
        <w:tc>
          <w:tcPr>
            <w:tcW w:type="dxa" w:w="2880"/>
          </w:tcPr>
          <w:p>
            <w:r>
              <w:t>手工检测</w:t>
            </w:r>
          </w:p>
        </w:tc>
        <w:tc>
          <w:tcPr>
            <w:tcW w:type="dxa" w:w="2880"/>
          </w:tcPr>
          <w:p>
            <w:r>
              <w:t>HTTP 请求构造与响应验证</w:t>
            </w:r>
          </w:p>
        </w:tc>
      </w:tr>
    </w:tbl>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2026-07-22</w:t>
            </w:r>
          </w:p>
        </w:tc>
        <w:tc>
          <w:tcPr>
            <w:tcW w:type="dxa" w:w="2160"/>
          </w:tcPr>
          <w:p>
            <w:r>
              <w:t>V1.0</w:t>
            </w:r>
          </w:p>
        </w:tc>
        <w:tc>
          <w:tcPr>
            <w:tcW w:type="dxa" w:w="2160"/>
          </w:tcPr>
          <w:p>
            <w:r>
              <w:t>创建应用安全检测报告</w:t>
            </w:r>
          </w:p>
        </w:tc>
        <w:tc>
          <w:tcPr>
            <w:tcW w:type="dxa" w:w="2160"/>
          </w:tcPr>
          <w:p>
            <w:r>
              <w:t>安全测试组</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东风商用车MNO平台</w:t>
            </w:r>
          </w:p>
        </w:tc>
        <w:tc>
          <w:tcPr>
            <w:tcW w:type="dxa" w:w="2160"/>
          </w:tcPr>
          <w:p>
            <w:r>
              <w:t>重要业务系统（车联网类，按等保三级要求）</w:t>
            </w:r>
          </w:p>
        </w:tc>
        <w:tc>
          <w:tcPr>
            <w:tcW w:type="dxa" w:w="2160"/>
          </w:tcPr>
          <w:p>
            <w:r>
              <w:t>https://mno.dfcv.com.cn/otportal/</w:t>
            </w:r>
          </w:p>
        </w:tc>
        <w:tc>
          <w:tcPr>
            <w:tcW w:type="dxa" w:w="2160"/>
          </w:tcPr>
          <w:p>
            <w:r>
              <w:t>内网访问（脱敏）</w:t>
            </w:r>
          </w:p>
        </w:tc>
      </w:tr>
    </w:tbl>
    <w:p>
      <w:pPr>
        <w:pStyle w:val="Heading2"/>
      </w:pPr>
      <w:r>
        <w:t>风险信息</w:t>
      </w:r>
    </w:p>
    <w:p>
      <w:r>
        <w:rPr>
          <w:i w:val="0"/>
        </w:rPr>
        <w:t>本次安全检测共完成 55 项检测内容，共计发现 5 个安全风险，其中高危风险 1 个、中危风险 4 个、低危风险 0 个（判定为“不符合”）。另有“符合” 11 项、“未测试” 38 项、“不涉及” 1 项。</w:t>
      </w:r>
    </w:p>
    <w:p>
      <w:r>
        <w:rPr>
          <w:i w:val="0"/>
        </w:rPr>
        <w:t>“未测试” 38 项系因测试条件受限（如缺少对照账号、生产环境非破坏性约束、经隧道无法验证等）无法完成验证，据实标记并说明原因；“不涉及” 1 项系统不涉及对应功能场景。</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3.5.10</w:t>
            </w:r>
          </w:p>
        </w:tc>
        <w:tc>
          <w:tcPr>
            <w:tcW w:type="dxa" w:w="1728"/>
          </w:tcPr>
          <w:p>
            <w:r>
              <w:t>用户标识、角色标识安全测试</w:t>
            </w:r>
          </w:p>
        </w:tc>
        <w:tc>
          <w:tcPr>
            <w:tcW w:type="dxa" w:w="1728"/>
          </w:tcPr>
          <w:p>
            <w:r>
              <w:rPr>
                <w:b/>
                <w:color w:val="E36C09"/>
              </w:rPr>
              <w:t>中</w:t>
            </w:r>
          </w:p>
        </w:tc>
        <w:tc>
          <w:tcPr>
            <w:tcW w:type="dxa" w:w="1728"/>
          </w:tcPr>
          <w:p>
            <w:r/>
          </w:p>
        </w:tc>
      </w:tr>
      <w:tr>
        <w:tc>
          <w:tcPr>
            <w:tcW w:type="dxa" w:w="1728"/>
          </w:tcPr>
          <w:p>
            <w:r>
              <w:t>2</w:t>
            </w:r>
          </w:p>
        </w:tc>
        <w:tc>
          <w:tcPr>
            <w:tcW w:type="dxa" w:w="1728"/>
          </w:tcPr>
          <w:p>
            <w:r>
              <w:t>3.6.2</w:t>
            </w:r>
          </w:p>
        </w:tc>
        <w:tc>
          <w:tcPr>
            <w:tcW w:type="dxa" w:w="1728"/>
          </w:tcPr>
          <w:p>
            <w:r>
              <w:t>防越权安全测试</w:t>
            </w:r>
          </w:p>
        </w:tc>
        <w:tc>
          <w:tcPr>
            <w:tcW w:type="dxa" w:w="1728"/>
          </w:tcPr>
          <w:p>
            <w:r>
              <w:rPr>
                <w:b/>
                <w:color w:val="C00000"/>
              </w:rPr>
              <w:t>高</w:t>
            </w:r>
          </w:p>
        </w:tc>
        <w:tc>
          <w:tcPr>
            <w:tcW w:type="dxa" w:w="1728"/>
          </w:tcPr>
          <w:p>
            <w:r/>
          </w:p>
        </w:tc>
      </w:tr>
      <w:tr>
        <w:tc>
          <w:tcPr>
            <w:tcW w:type="dxa" w:w="1728"/>
          </w:tcPr>
          <w:p>
            <w:r>
              <w:t>3</w:t>
            </w:r>
          </w:p>
        </w:tc>
        <w:tc>
          <w:tcPr>
            <w:tcW w:type="dxa" w:w="1728"/>
          </w:tcPr>
          <w:p>
            <w:r>
              <w:t>3.7.1</w:t>
            </w:r>
          </w:p>
        </w:tc>
        <w:tc>
          <w:tcPr>
            <w:tcW w:type="dxa" w:w="1728"/>
          </w:tcPr>
          <w:p>
            <w:r>
              <w:t>Cookie安全测试</w:t>
            </w:r>
          </w:p>
        </w:tc>
        <w:tc>
          <w:tcPr>
            <w:tcW w:type="dxa" w:w="1728"/>
          </w:tcPr>
          <w:p>
            <w:r>
              <w:rPr>
                <w:b/>
                <w:color w:val="E36C09"/>
              </w:rPr>
              <w:t>中</w:t>
            </w:r>
          </w:p>
        </w:tc>
        <w:tc>
          <w:tcPr>
            <w:tcW w:type="dxa" w:w="1728"/>
          </w:tcPr>
          <w:p>
            <w:r/>
          </w:p>
        </w:tc>
      </w:tr>
      <w:tr>
        <w:tc>
          <w:tcPr>
            <w:tcW w:type="dxa" w:w="1728"/>
          </w:tcPr>
          <w:p>
            <w:r>
              <w:t>4</w:t>
            </w:r>
          </w:p>
        </w:tc>
        <w:tc>
          <w:tcPr>
            <w:tcW w:type="dxa" w:w="1728"/>
          </w:tcPr>
          <w:p>
            <w:r>
              <w:t>3.11.2</w:t>
            </w:r>
          </w:p>
        </w:tc>
        <w:tc>
          <w:tcPr>
            <w:tcW w:type="dxa" w:w="1728"/>
          </w:tcPr>
          <w:p>
            <w:r>
              <w:t>基础日志审计内容安全测试</w:t>
            </w:r>
          </w:p>
        </w:tc>
        <w:tc>
          <w:tcPr>
            <w:tcW w:type="dxa" w:w="1728"/>
          </w:tcPr>
          <w:p>
            <w:r>
              <w:rPr>
                <w:b/>
                <w:color w:val="E36C09"/>
              </w:rPr>
              <w:t>中</w:t>
            </w:r>
          </w:p>
        </w:tc>
        <w:tc>
          <w:tcPr>
            <w:tcW w:type="dxa" w:w="1728"/>
          </w:tcPr>
          <w:p>
            <w:r/>
          </w:p>
        </w:tc>
      </w:tr>
      <w:tr>
        <w:tc>
          <w:tcPr>
            <w:tcW w:type="dxa" w:w="1728"/>
          </w:tcPr>
          <w:p>
            <w:r>
              <w:t>5</w:t>
            </w:r>
          </w:p>
        </w:tc>
        <w:tc>
          <w:tcPr>
            <w:tcW w:type="dxa" w:w="1728"/>
          </w:tcPr>
          <w:p>
            <w:r>
              <w:t>3.12.2</w:t>
            </w:r>
          </w:p>
        </w:tc>
        <w:tc>
          <w:tcPr>
            <w:tcW w:type="dxa" w:w="1728"/>
          </w:tcPr>
          <w:p>
            <w:r>
              <w:t>数据脱敏展示安全测试</w:t>
            </w:r>
          </w:p>
        </w:tc>
        <w:tc>
          <w:tcPr>
            <w:tcW w:type="dxa" w:w="1728"/>
          </w:tcPr>
          <w:p>
            <w:r>
              <w:rPr>
                <w:b/>
                <w:color w:val="E36C09"/>
              </w:rPr>
              <w:t>中</w:t>
            </w:r>
          </w:p>
        </w:tc>
        <w:tc>
          <w:tcPr>
            <w:tcW w:type="dxa" w:w="1728"/>
          </w:tcPr>
          <w:p>
            <w:r/>
          </w:p>
        </w:tc>
      </w:tr>
    </w:tbl>
    <w:p>
      <w:r>
        <w:rPr>
          <w:i/>
        </w:rPr>
        <w:t>注：上表仅列出本次判定为“不符合”的 5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经授权内网穿透HTTP隧道访问目标，仅应用HTTPS(443)业务端口对外可达，无法在客户端侧对目标主机开展完整端口扫描与管理端隔离核查，据实标记未测试。建议在目标网络内部按等保三级要求核查高危端口暴露、业务端/管理端端口分离及管理端IP白名单限制。</w:t>
            </w:r>
          </w:p>
        </w:tc>
      </w:tr>
      <w:tr>
        <w:tc>
          <w:tcPr>
            <w:tcW w:type="dxa" w:w="1872"/>
            <w:shd w:val="clear" w:fill="F2F2F2"/>
          </w:tcPr>
          <w:p>
            <w:r>
              <w:rPr>
                <w:b/>
              </w:rPr>
              <w:t>修复建议</w:t>
            </w:r>
          </w:p>
        </w:tc>
        <w:tc>
          <w:tcPr>
            <w:tcW w:type="dxa" w:w="7488"/>
          </w:tcPr>
          <w:p>
            <w:r>
              <w:t>在目标网络边界完成端口暴露面梳理：关闭非必要高危端口，管理端与业务端端口分离，管理端配置IP/IP段白名单访问控制。</w:t>
            </w:r>
          </w:p>
        </w:tc>
      </w:tr>
      <w:tr>
        <w:tc>
          <w:tcPr>
            <w:tcW w:type="dxa" w:w="1872"/>
            <w:shd w:val="clear" w:fill="F2F2F2"/>
          </w:tcPr>
          <w:p>
            <w:r>
              <w:rPr>
                <w:b/>
              </w:rPr>
              <w:t>备注</w:t>
            </w:r>
          </w:p>
        </w:tc>
        <w:tc>
          <w:tcPr>
            <w:tcW w:type="dxa" w:w="7488"/>
          </w:tcPr>
          <w:p>
            <w:r>
              <w:t>受隧道访问方式限制</w:t>
            </w:r>
          </w:p>
        </w:tc>
      </w:tr>
    </w:tbl>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应用为前后端分离SPA，前端资源经隧道加载正常；后端中间件/框架的完整版本基线需在服务端侧核查，客户端侧无法完整获取组件清单及补丁状态，据实标记未测试。</w:t>
            </w:r>
          </w:p>
        </w:tc>
      </w:tr>
      <w:tr>
        <w:tc>
          <w:tcPr>
            <w:tcW w:type="dxa" w:w="1872"/>
            <w:shd w:val="clear" w:fill="F2F2F2"/>
          </w:tcPr>
          <w:p>
            <w:r>
              <w:rPr>
                <w:b/>
              </w:rPr>
              <w:t>修复建议</w:t>
            </w:r>
          </w:p>
        </w:tc>
        <w:tc>
          <w:tcPr>
            <w:tcW w:type="dxa" w:w="7488"/>
          </w:tcPr>
          <w:p>
            <w:r>
              <w:t>建立组件资产清单与基线，定期核对开发框架、中间件、第三方库版本，及时升级修复已知漏洞版本。</w:t>
            </w:r>
          </w:p>
        </w:tc>
      </w:tr>
      <w:tr>
        <w:tc>
          <w:tcPr>
            <w:tcW w:type="dxa" w:w="1872"/>
            <w:shd w:val="clear" w:fill="F2F2F2"/>
          </w:tcPr>
          <w:p>
            <w:r>
              <w:rPr>
                <w:b/>
              </w:rPr>
              <w:t>备注</w:t>
            </w:r>
          </w:p>
        </w:tc>
        <w:tc>
          <w:tcPr>
            <w:tcW w:type="dxa" w:w="7488"/>
          </w:tcPr>
          <w:p>
            <w:r/>
          </w:p>
        </w:tc>
      </w:tr>
    </w:tbl>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前端加载多个JS bundle，未对其中JavaScript库逐一比对已知漏洞版本，未开展前端库版本专项核查，据实标记未测试。</w:t>
            </w:r>
          </w:p>
        </w:tc>
      </w:tr>
      <w:tr>
        <w:tc>
          <w:tcPr>
            <w:tcW w:type="dxa" w:w="1872"/>
            <w:shd w:val="clear" w:fill="F2F2F2"/>
          </w:tcPr>
          <w:p>
            <w:r>
              <w:rPr>
                <w:b/>
              </w:rPr>
              <w:t>修复建议</w:t>
            </w:r>
          </w:p>
        </w:tc>
        <w:tc>
          <w:tcPr>
            <w:tcW w:type="dxa" w:w="7488"/>
          </w:tcPr>
          <w:p>
            <w:r>
              <w:t>梳理前端JS库清单并与已知漏洞版本比对，升级存在已知漏洞的前端库版本。</w:t>
            </w:r>
          </w:p>
        </w:tc>
      </w:tr>
      <w:tr>
        <w:tc>
          <w:tcPr>
            <w:tcW w:type="dxa" w:w="1872"/>
            <w:shd w:val="clear" w:fill="F2F2F2"/>
          </w:tcPr>
          <w:p>
            <w:r>
              <w:rPr>
                <w:b/>
              </w:rPr>
              <w:t>备注</w:t>
            </w:r>
          </w:p>
        </w:tc>
        <w:tc>
          <w:tcPr>
            <w:tcW w:type="dxa" w:w="7488"/>
          </w:tcPr>
          <w:p>
            <w:r/>
          </w:p>
        </w:tc>
      </w:tr>
    </w:tbl>
    <w:p/>
    <w:p>
      <w:pPr>
        <w:pStyle w:val="Heading3"/>
      </w:pPr>
      <w:r>
        <w:t>前端JS泄露安全测试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前端JS泄露安全测试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前端JS文件应不包含敏感信息，如接口、密钥、个人敏感信息、应用敏感信息等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抽样查看前端JS未发现明显硬编码密钥或口令，但未对全部打包JS做系统化敏感信息静态扫描，据实标记未测试。</w:t>
            </w:r>
          </w:p>
        </w:tc>
      </w:tr>
      <w:tr>
        <w:tc>
          <w:tcPr>
            <w:tcW w:type="dxa" w:w="1872"/>
            <w:shd w:val="clear" w:fill="F2F2F2"/>
          </w:tcPr>
          <w:p>
            <w:r>
              <w:rPr>
                <w:b/>
              </w:rPr>
              <w:t>修复建议</w:t>
            </w:r>
          </w:p>
        </w:tc>
        <w:tc>
          <w:tcPr>
            <w:tcW w:type="dxa" w:w="7488"/>
          </w:tcPr>
          <w:p>
            <w:r>
              <w:t>对前端打包产物做敏感信息静态扫描，剔除接口地址枚举、密钥、内部注释等敏感信息。</w:t>
            </w:r>
          </w:p>
        </w:tc>
      </w:tr>
      <w:tr>
        <w:tc>
          <w:tcPr>
            <w:tcW w:type="dxa" w:w="1872"/>
            <w:shd w:val="clear" w:fill="F2F2F2"/>
          </w:tcPr>
          <w:p>
            <w:r>
              <w:rPr>
                <w:b/>
              </w:rPr>
              <w:t>备注</w:t>
            </w:r>
          </w:p>
        </w:tc>
        <w:tc>
          <w:tcPr>
            <w:tcW w:type="dxa" w:w="7488"/>
          </w:tcPr>
          <w:p>
            <w:r/>
          </w:p>
        </w:tc>
      </w:tr>
    </w:tbl>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经HTTP隧道访问，隧道会重写部分响应头，无法可靠判定目标真实响应中是否泄露服务端软件版本信息，据实标记未测试。</w:t>
            </w:r>
          </w:p>
        </w:tc>
      </w:tr>
      <w:tr>
        <w:tc>
          <w:tcPr>
            <w:tcW w:type="dxa" w:w="1872"/>
            <w:shd w:val="clear" w:fill="F2F2F2"/>
          </w:tcPr>
          <w:p>
            <w:r>
              <w:rPr>
                <w:b/>
              </w:rPr>
              <w:t>修复建议</w:t>
            </w:r>
          </w:p>
        </w:tc>
        <w:tc>
          <w:tcPr>
            <w:tcW w:type="dxa" w:w="7488"/>
          </w:tcPr>
          <w:p>
            <w:r>
              <w:t>隐藏或规范化Server、X-Powered-By等响应头，避免泄露中间件/框架具体版本。</w:t>
            </w:r>
          </w:p>
        </w:tc>
      </w:tr>
      <w:tr>
        <w:tc>
          <w:tcPr>
            <w:tcW w:type="dxa" w:w="1872"/>
            <w:shd w:val="clear" w:fill="F2F2F2"/>
          </w:tcPr>
          <w:p>
            <w:r>
              <w:rPr>
                <w:b/>
              </w:rPr>
              <w:t>备注</w:t>
            </w:r>
          </w:p>
        </w:tc>
        <w:tc>
          <w:tcPr>
            <w:tcW w:type="dxa" w:w="7488"/>
          </w:tcPr>
          <w:p>
            <w:r>
              <w:t>隧道重写头部，无法独立取证</w:t>
            </w:r>
          </w:p>
        </w:tc>
      </w:tr>
    </w:tbl>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登录请求体经加密提交，观察到时间戳参数；但未系统验证请求是否具备完整的防重放(一次性随机数)与请求/响应双向防篡改签名机制，据实标记未测试。</w:t>
            </w:r>
          </w:p>
        </w:tc>
      </w:tr>
      <w:tr>
        <w:tc>
          <w:tcPr>
            <w:tcW w:type="dxa" w:w="1872"/>
            <w:shd w:val="clear" w:fill="F2F2F2"/>
          </w:tcPr>
          <w:p>
            <w:r>
              <w:rPr>
                <w:b/>
              </w:rPr>
              <w:t>修复建议</w:t>
            </w:r>
          </w:p>
        </w:tc>
        <w:tc>
          <w:tcPr>
            <w:tcW w:type="dxa" w:w="7488"/>
          </w:tcPr>
          <w:p>
            <w:r>
              <w:t>对核心接口引入签名+时间戳+随机数机制，实现防重放与请求/响应双向防篡改，签名校验在服务端强制执行。</w:t>
            </w:r>
          </w:p>
        </w:tc>
      </w:tr>
      <w:tr>
        <w:tc>
          <w:tcPr>
            <w:tcW w:type="dxa" w:w="1872"/>
            <w:shd w:val="clear" w:fill="F2F2F2"/>
          </w:tcPr>
          <w:p>
            <w:r>
              <w:rPr>
                <w:b/>
              </w:rPr>
              <w:t>备注</w:t>
            </w:r>
          </w:p>
        </w:tc>
        <w:tc>
          <w:tcPr>
            <w:tcW w:type="dxa" w:w="7488"/>
          </w:tcPr>
          <w:p>
            <w:r>
              <w:t>商用车/车联网类系统按三级要求定级为高</w:t>
            </w:r>
          </w:p>
        </w:tc>
      </w:tr>
    </w:tbl>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登录认证包含图形验证码；实测验证码由服务端校验(错误验证码登录被拒)，且每次认证后验证码自动刷新；空验证码无法绕过。符合验证码功能安全要求。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账号由管理员后台开通，未见开放自助注册入口；改密/找回流程未在授权范围内做完整验证，据实标记未测试。</w:t>
            </w:r>
          </w:p>
        </w:tc>
      </w:tr>
      <w:tr>
        <w:tc>
          <w:tcPr>
            <w:tcW w:type="dxa" w:w="1872"/>
            <w:shd w:val="clear" w:fill="F2F2F2"/>
          </w:tcPr>
          <w:p>
            <w:r>
              <w:rPr>
                <w:b/>
              </w:rPr>
              <w:t>修复建议</w:t>
            </w:r>
          </w:p>
        </w:tc>
        <w:tc>
          <w:tcPr>
            <w:tcW w:type="dxa" w:w="7488"/>
          </w:tcPr>
          <w:p>
            <w:r>
              <w:t>改密需校验原密码并密码模糊显示，改密后强制重新登录；账号注册/注销/改密/找回均留存日志。</w:t>
            </w:r>
          </w:p>
        </w:tc>
      </w:tr>
      <w:tr>
        <w:tc>
          <w:tcPr>
            <w:tcW w:type="dxa" w:w="1872"/>
            <w:shd w:val="clear" w:fill="F2F2F2"/>
          </w:tcPr>
          <w:p>
            <w:r>
              <w:rPr>
                <w:b/>
              </w:rPr>
              <w:t>备注</w:t>
            </w:r>
          </w:p>
        </w:tc>
        <w:tc>
          <w:tcPr>
            <w:tcW w:type="dxa" w:w="7488"/>
          </w:tcPr>
          <w:p>
            <w:r/>
          </w:p>
        </w:tc>
      </w:tr>
    </w:tbl>
    <w:p/>
    <w:p>
      <w:pPr>
        <w:pStyle w:val="Heading3"/>
      </w:pPr>
      <w:r>
        <w:t>双因素验证功能安全测试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涉及使用短信及邮件模块进行验证，应满足以下安全要求：</w:t>
              <w:br/>
              <w:t>1、每个账号只允许每隔60s发送一次短信、邮件验证信息</w:t>
              <w:br/>
              <w:t>2、每个账号发送短信、邮件验证信息在120s有效</w:t>
              <w:br/>
              <w:t>3、每个账号发送短信、邮件验证码要求不小于6位，其中邮件通过链接验证，需在链接中添加临时token进行验证，临时token有效期在30min内</w:t>
              <w:br/>
              <w:t>4、每个账号每日发送短信、邮件验证信息最多不超过10次</w:t>
              <w:br/>
              <w:t>5、短信、邮件验证码一次性有效（即使用完后失效）</w:t>
              <w:br/>
              <w:t>6、短信、邮件验证码应后台发送，不能直接通过响应包直接返回用户</w:t>
              <w:br/>
              <w:t>7、业务系统应接入IAM，并开启双因素验证（面向C端由安全主任审核通过可例外）</w:t>
            </w:r>
          </w:p>
        </w:tc>
      </w:tr>
      <w:tr>
        <w:tc>
          <w:tcPr>
            <w:tcW w:type="dxa" w:w="1872"/>
            <w:shd w:val="clear" w:fill="F2F2F2"/>
          </w:tcPr>
          <w:p>
            <w:r>
              <w:rPr>
                <w:b/>
              </w:rPr>
              <w:t>风险影响</w:t>
            </w:r>
          </w:p>
        </w:tc>
        <w:tc>
          <w:tcPr>
            <w:tcW w:type="dxa" w:w="7488"/>
          </w:tcPr>
          <w:p>
            <w:r>
              <w:t>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登录流程使用图形验证码，未观察到短信/邮件双因素环节；双因素相关频控、有效期、一次性等要求无对应功能可验证，据实标记未测试。</w:t>
            </w:r>
          </w:p>
        </w:tc>
      </w:tr>
      <w:tr>
        <w:tc>
          <w:tcPr>
            <w:tcW w:type="dxa" w:w="1872"/>
            <w:shd w:val="clear" w:fill="F2F2F2"/>
          </w:tcPr>
          <w:p>
            <w:r>
              <w:rPr>
                <w:b/>
              </w:rPr>
              <w:t>修复建议</w:t>
            </w:r>
          </w:p>
        </w:tc>
        <w:tc>
          <w:tcPr>
            <w:tcW w:type="dxa" w:w="7488"/>
          </w:tcPr>
          <w:p>
            <w:r>
              <w:t>重要业务系统接入IAM并开启双因素认证，短信/邮件验证码满足频控、有效期、位数与一次性要求，且不经响应包直接返回。</w:t>
            </w:r>
          </w:p>
        </w:tc>
      </w:tr>
      <w:tr>
        <w:tc>
          <w:tcPr>
            <w:tcW w:type="dxa" w:w="1872"/>
            <w:shd w:val="clear" w:fill="F2F2F2"/>
          </w:tcPr>
          <w:p>
            <w:r>
              <w:rPr>
                <w:b/>
              </w:rPr>
              <w:t>备注</w:t>
            </w:r>
          </w:p>
        </w:tc>
        <w:tc>
          <w:tcPr>
            <w:tcW w:type="dxa" w:w="7488"/>
          </w:tcPr>
          <w:p>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使用既有测试账号登录，未涉及初始化密码首次登录场景，无法验证首次登录强制改密策略，据实标记未测试。</w:t>
            </w:r>
          </w:p>
        </w:tc>
      </w:tr>
      <w:tr>
        <w:tc>
          <w:tcPr>
            <w:tcW w:type="dxa" w:w="1872"/>
            <w:shd w:val="clear" w:fill="F2F2F2"/>
          </w:tcPr>
          <w:p>
            <w:r>
              <w:rPr>
                <w:b/>
              </w:rPr>
              <w:t>修复建议</w:t>
            </w:r>
          </w:p>
        </w:tc>
        <w:tc>
          <w:tcPr>
            <w:tcW w:type="dxa" w:w="7488"/>
          </w:tcPr>
          <w:p>
            <w:r>
              <w:t>初始密码首次登录强制修改，密码满足复杂度要求；三级系统对长期未登录初始账号自动锁定并记录日志。</w:t>
            </w:r>
          </w:p>
        </w:tc>
      </w:tr>
      <w:tr>
        <w:tc>
          <w:tcPr>
            <w:tcW w:type="dxa" w:w="1872"/>
            <w:shd w:val="clear" w:fill="F2F2F2"/>
          </w:tcPr>
          <w:p>
            <w:r>
              <w:rPr>
                <w:b/>
              </w:rPr>
              <w:t>备注</w:t>
            </w:r>
          </w:p>
        </w:tc>
        <w:tc>
          <w:tcPr>
            <w:tcW w:type="dxa" w:w="7488"/>
          </w:tcPr>
          <w:p>
            <w:r/>
          </w:p>
        </w:tc>
      </w:tr>
    </w:tbl>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为避免触发账号锁定，未对登录失败提示语句做多组对比测试，据实标记未测试。</w:t>
            </w:r>
          </w:p>
        </w:tc>
      </w:tr>
      <w:tr>
        <w:tc>
          <w:tcPr>
            <w:tcW w:type="dxa" w:w="1872"/>
            <w:shd w:val="clear" w:fill="F2F2F2"/>
          </w:tcPr>
          <w:p>
            <w:r>
              <w:rPr>
                <w:b/>
              </w:rPr>
              <w:t>修复建议</w:t>
            </w:r>
          </w:p>
        </w:tc>
        <w:tc>
          <w:tcPr>
            <w:tcW w:type="dxa" w:w="7488"/>
          </w:tcPr>
          <w:p>
            <w:r>
              <w:t>统一模糊化登录失败提示（如“账号或密码错误”），避免区分账号是否存在。</w:t>
            </w:r>
          </w:p>
        </w:tc>
      </w:tr>
      <w:tr>
        <w:tc>
          <w:tcPr>
            <w:tcW w:type="dxa" w:w="1872"/>
            <w:shd w:val="clear" w:fill="F2F2F2"/>
          </w:tcPr>
          <w:p>
            <w:r>
              <w:rPr>
                <w:b/>
              </w:rPr>
              <w:t>备注</w:t>
            </w:r>
          </w:p>
        </w:tc>
        <w:tc>
          <w:tcPr>
            <w:tcW w:type="dxa" w:w="7488"/>
          </w:tcPr>
          <w:p>
            <w:r>
              <w:t>非破坏性约束</w:t>
            </w:r>
          </w:p>
        </w:tc>
      </w:tr>
    </w:tbl>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为避免锁定生产账号，未开展多次失败登录锁定验证，据实标记未测试。</w:t>
            </w:r>
          </w:p>
        </w:tc>
      </w:tr>
      <w:tr>
        <w:tc>
          <w:tcPr>
            <w:tcW w:type="dxa" w:w="1872"/>
            <w:shd w:val="clear" w:fill="F2F2F2"/>
          </w:tcPr>
          <w:p>
            <w:r>
              <w:rPr>
                <w:b/>
              </w:rPr>
              <w:t>修复建议</w:t>
            </w:r>
          </w:p>
        </w:tc>
        <w:tc>
          <w:tcPr>
            <w:tcW w:type="dxa" w:w="7488"/>
          </w:tcPr>
          <w:p>
            <w:r>
              <w:t>设置账号多次登录失败锁定并定时自动解锁；三级系统对多次验证码错误联动锁定。</w:t>
            </w:r>
          </w:p>
        </w:tc>
      </w:tr>
      <w:tr>
        <w:tc>
          <w:tcPr>
            <w:tcW w:type="dxa" w:w="1872"/>
            <w:shd w:val="clear" w:fill="F2F2F2"/>
          </w:tcPr>
          <w:p>
            <w:r>
              <w:rPr>
                <w:b/>
              </w:rPr>
              <w:t>备注</w:t>
            </w:r>
          </w:p>
        </w:tc>
        <w:tc>
          <w:tcPr>
            <w:tcW w:type="dxa" w:w="7488"/>
          </w:tcPr>
          <w:p>
            <w:r>
              <w:t>非破坏性约束</w:t>
            </w:r>
          </w:p>
        </w:tc>
      </w:tr>
    </w:tbl>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登录页密码输入框为掩码(type=password)显示，输入口令不以明文呈现，符合要求。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为避免影响生产账号，未对密码复杂度策略做弱口令注册/改密类验证，据实标记未测试。</w:t>
            </w:r>
          </w:p>
        </w:tc>
      </w:tr>
      <w:tr>
        <w:tc>
          <w:tcPr>
            <w:tcW w:type="dxa" w:w="1872"/>
            <w:shd w:val="clear" w:fill="F2F2F2"/>
          </w:tcPr>
          <w:p>
            <w:r>
              <w:rPr>
                <w:b/>
              </w:rPr>
              <w:t>修复建议</w:t>
            </w:r>
          </w:p>
        </w:tc>
        <w:tc>
          <w:tcPr>
            <w:tcW w:type="dxa" w:w="7488"/>
          </w:tcPr>
          <w:p>
            <w:r>
              <w:t>强制密码长度≥8位且包含大小写字母、数字、特殊字符至少三类，三级系统增加伪强密码检测。</w:t>
            </w:r>
          </w:p>
        </w:tc>
      </w:tr>
      <w:tr>
        <w:tc>
          <w:tcPr>
            <w:tcW w:type="dxa" w:w="1872"/>
            <w:shd w:val="clear" w:fill="F2F2F2"/>
          </w:tcPr>
          <w:p>
            <w:r>
              <w:rPr>
                <w:b/>
              </w:rPr>
              <w:t>备注</w:t>
            </w:r>
          </w:p>
        </w:tc>
        <w:tc>
          <w:tcPr>
            <w:tcW w:type="dxa" w:w="7488"/>
          </w:tcPr>
          <w:p>
            <w:r>
              <w:t>非破坏性约束</w:t>
            </w:r>
          </w:p>
        </w:tc>
      </w:tr>
    </w:tbl>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长期不登录自动锁定策略需长时间观测或后台配置核查，本次无法验证，据实标记未测试。</w:t>
            </w:r>
          </w:p>
        </w:tc>
      </w:tr>
      <w:tr>
        <w:tc>
          <w:tcPr>
            <w:tcW w:type="dxa" w:w="1872"/>
            <w:shd w:val="clear" w:fill="F2F2F2"/>
          </w:tcPr>
          <w:p>
            <w:r>
              <w:rPr>
                <w:b/>
              </w:rPr>
              <w:t>修复建议</w:t>
            </w:r>
          </w:p>
        </w:tc>
        <w:tc>
          <w:tcPr>
            <w:tcW w:type="dxa" w:w="7488"/>
          </w:tcPr>
          <w:p>
            <w:r>
              <w:t>对半年未登录账号自动锁定，定期清理僵尸/幽灵账号。</w:t>
            </w:r>
          </w:p>
        </w:tc>
      </w:tr>
      <w:tr>
        <w:tc>
          <w:tcPr>
            <w:tcW w:type="dxa" w:w="1872"/>
            <w:shd w:val="clear" w:fill="F2F2F2"/>
          </w:tcPr>
          <w:p>
            <w:r>
              <w:rPr>
                <w:b/>
              </w:rPr>
              <w:t>备注</w:t>
            </w:r>
          </w:p>
        </w:tc>
        <w:tc>
          <w:tcPr>
            <w:tcW w:type="dxa" w:w="7488"/>
          </w:tcPr>
          <w:p>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认证态接口在请求参数中直接携带用户标识(userId)进行交互(如获取登录信息、用户列表相关接口)，用户标识在传输过程中暴露且可被遍历，未完全依托令牌在服务端做关联授权。攻击者可通过篡改/遍历用户标识尝试越权访问。</w:t>
            </w:r>
          </w:p>
        </w:tc>
      </w:tr>
      <w:tr>
        <w:tc>
          <w:tcPr>
            <w:tcW w:type="dxa" w:w="1872"/>
            <w:shd w:val="clear" w:fill="F2F2F2"/>
          </w:tcPr>
          <w:p>
            <w:r>
              <w:rPr>
                <w:b/>
              </w:rPr>
              <w:t>修复建议</w:t>
            </w:r>
          </w:p>
        </w:tc>
        <w:tc>
          <w:tcPr>
            <w:tcW w:type="dxa" w:w="7488"/>
          </w:tcPr>
          <w:p>
            <w:r>
              <w:t>接口不在传输中携带可遍历的用户标识；以令牌在服务端关联当前用户身份并强制做对象归属校验，确需传参时提供必要性说明并做严格授权。</w:t>
            </w:r>
          </w:p>
        </w:tc>
      </w:tr>
      <w:tr>
        <w:tc>
          <w:tcPr>
            <w:tcW w:type="dxa" w:w="1872"/>
            <w:shd w:val="clear" w:fill="F2F2F2"/>
          </w:tcPr>
          <w:p>
            <w:r>
              <w:rPr>
                <w:b/>
              </w:rPr>
              <w:t>备注</w:t>
            </w:r>
          </w:p>
        </w:tc>
        <w:tc>
          <w:tcPr>
            <w:tcW w:type="dxa" w:w="7488"/>
          </w:tcPr>
          <w:p>
            <w:r/>
          </w:p>
        </w:tc>
      </w:tr>
    </w:tbl>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系统具备角色/资源权限管理功能，至少区分管理员与普通用户两类角色，前端按角色展示不同菜单；具备操作审计功能。基础权限控制能力存在（账号冻结功能本次未单独验证）。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账号冻结功能未单独验证</w:t>
            </w:r>
          </w:p>
        </w:tc>
      </w:tr>
    </w:tbl>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系统应具备更严格的权限管理，防止出现越权问题</w:t>
            </w:r>
          </w:p>
        </w:tc>
      </w:tr>
      <w:tr>
        <w:tc>
          <w:tcPr>
            <w:tcW w:type="dxa" w:w="1872"/>
            <w:shd w:val="clear" w:fill="F2F2F2"/>
          </w:tcPr>
          <w:p>
            <w:r>
              <w:rPr>
                <w:b/>
              </w:rPr>
              <w:t>风险影响</w:t>
            </w:r>
          </w:p>
        </w:tc>
        <w:tc>
          <w:tcPr>
            <w:tcW w:type="dxa" w:w="7488"/>
          </w:tcPr>
          <w:p>
            <w:r>
              <w:t>存在未授权访问与越权操作风险，攻击者利用应用权限管理漏洞，提升账号权限、越权获取应用敏感数据，导致信息泄露。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双账号对比测试确认存在功能级纵向越权：普通测试用户(zhanchongtest)登录后，前端虽隐藏系统管理菜单，但使用其自身令牌可直接调用管理类接口并成功返回数据，包括角色查询、权限资源树、操作审计日志、用户列表枚举等。后端未对管理类接口做有效的角色授权校验，安全边界错误地依赖前端菜单隐藏。SIM业务数据对普通用户显示“暂无数据”，说明部分业务数据范围隔离有效，但功能级接口鉴权整体缺失，属高危越权。</w:t>
            </w:r>
          </w:p>
        </w:tc>
      </w:tr>
      <w:tr>
        <w:tc>
          <w:tcPr>
            <w:tcW w:type="dxa" w:w="1872"/>
            <w:shd w:val="clear" w:fill="F2F2F2"/>
          </w:tcPr>
          <w:p>
            <w:r>
              <w:rPr>
                <w:b/>
              </w:rPr>
              <w:t>修复建议</w:t>
            </w:r>
          </w:p>
        </w:tc>
        <w:tc>
          <w:tcPr>
            <w:tcW w:type="dxa" w:w="7488"/>
          </w:tcPr>
          <w:p>
            <w:r>
              <w:t>在后端对每个受保护接口强制做基于角色/权限的服务端鉴权(功能级+对象级)，不得以前端隐藏替代；对管理类接口默认拒绝、白名单授权；补充越权访问告警与审计。</w:t>
            </w:r>
          </w:p>
        </w:tc>
      </w:tr>
      <w:tr>
        <w:tc>
          <w:tcPr>
            <w:tcW w:type="dxa" w:w="1872"/>
            <w:shd w:val="clear" w:fill="F2F2F2"/>
          </w:tcPr>
          <w:p>
            <w:r>
              <w:rPr>
                <w:b/>
              </w:rPr>
              <w:t>备注</w:t>
            </w:r>
          </w:p>
        </w:tc>
        <w:tc>
          <w:tcPr>
            <w:tcW w:type="dxa" w:w="7488"/>
          </w:tcPr>
          <w:p>
            <w:r>
              <w:t>核心高危发现</w:t>
            </w:r>
          </w:p>
        </w:tc>
      </w:tr>
    </w:tbl>
    <w:p>
      <w:pPr>
        <w:jc w:val="center"/>
      </w:pPr>
      <w:r>
        <w:drawing>
          <wp:inline xmlns:a="http://schemas.openxmlformats.org/drawingml/2006/main" xmlns:pic="http://schemas.openxmlformats.org/drawingml/2006/picture">
            <wp:extent cx="4937760" cy="2777490"/>
            <wp:docPr id="1" name="Picture 1"/>
            <wp:cNvGraphicFramePr>
              <a:graphicFrameLocks noChangeAspect="1"/>
            </wp:cNvGraphicFramePr>
            <a:graphic>
              <a:graphicData uri="http://schemas.openxmlformats.org/drawingml/2006/picture">
                <pic:pic>
                  <pic:nvPicPr>
                    <pic:cNvPr id="0" name="fig02_ordinary_user_ui.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图1：普通测试用户登录后界面（系统管理菜单前端隐藏，但管理类接口可越权直接调用）</w:t>
      </w:r>
    </w:p>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应用采用自定义请求头(accessToken)携带令牌，令牌持久化存储于浏览器localStorage，可被同源JavaScript直接读取，缺少Cookie的HttpOnly保护语义；同时响应中未见HSTS/CSP/X-Frame-Options/X-Content-Type-Options等安全响应头。令牌一旦在XSS场景下被读取将导致会话被盗用（本次未确认存在可利用XSS，故按令牌存储与防护缺失定级为中）。</w:t>
            </w:r>
          </w:p>
        </w:tc>
      </w:tr>
      <w:tr>
        <w:tc>
          <w:tcPr>
            <w:tcW w:type="dxa" w:w="1872"/>
            <w:shd w:val="clear" w:fill="F2F2F2"/>
          </w:tcPr>
          <w:p>
            <w:r>
              <w:rPr>
                <w:b/>
              </w:rPr>
              <w:t>修复建议</w:t>
            </w:r>
          </w:p>
        </w:tc>
        <w:tc>
          <w:tcPr>
            <w:tcW w:type="dxa" w:w="7488"/>
          </w:tcPr>
          <w:p>
            <w:r>
              <w:t>会话令牌优先使用HttpOnly+Secure的Cookie承载，或在客户端最小化令牌暴露面；补齐HSTS、CSP、X-Frame-Options、X-Content-Type-Options、Referrer-Policy等安全响应头。</w:t>
            </w:r>
          </w:p>
        </w:tc>
      </w:tr>
      <w:tr>
        <w:tc>
          <w:tcPr>
            <w:tcW w:type="dxa" w:w="1872"/>
            <w:shd w:val="clear" w:fill="F2F2F2"/>
          </w:tcPr>
          <w:p>
            <w:r>
              <w:rPr>
                <w:b/>
              </w:rPr>
              <w:t>备注</w:t>
            </w:r>
          </w:p>
        </w:tc>
        <w:tc>
          <w:tcPr>
            <w:tcW w:type="dxa" w:w="7488"/>
          </w:tcPr>
          <w:p>
            <w:r>
              <w:t>令牌存localStorage；与XSS的联动未验证，不夸大</w:t>
            </w:r>
          </w:p>
        </w:tc>
      </w:tr>
    </w:tbl>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以恶意Origin构造跨域请求测试，服务端未返回允许恶意源的CORS放行头，跨域源验证收敛，未观察到Access-Control-Allow-Origin通配或反射恶意Origin的问题。</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实测登出后复用登出前令牌调用受保护接口被拒(鉴权失败)，会话在登出后即时失效，符合要求。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会话空闲超时(建议30分钟)需长时间空闲观测或后台配置核查，本次未验证，据实标记未测试。</w:t>
            </w:r>
          </w:p>
        </w:tc>
      </w:tr>
      <w:tr>
        <w:tc>
          <w:tcPr>
            <w:tcW w:type="dxa" w:w="1872"/>
            <w:shd w:val="clear" w:fill="F2F2F2"/>
          </w:tcPr>
          <w:p>
            <w:r>
              <w:rPr>
                <w:b/>
              </w:rPr>
              <w:t>修复建议</w:t>
            </w:r>
          </w:p>
        </w:tc>
        <w:tc>
          <w:tcPr>
            <w:tcW w:type="dxa" w:w="7488"/>
          </w:tcPr>
          <w:p>
            <w:r>
              <w:t>实现会话空闲超时（建议≤30分钟），超时后强制重新认证。</w:t>
            </w:r>
          </w:p>
        </w:tc>
      </w:tr>
      <w:tr>
        <w:tc>
          <w:tcPr>
            <w:tcW w:type="dxa" w:w="1872"/>
            <w:shd w:val="clear" w:fill="F2F2F2"/>
          </w:tcPr>
          <w:p>
            <w:r>
              <w:rPr>
                <w:b/>
              </w:rPr>
              <w:t>备注</w:t>
            </w:r>
          </w:p>
        </w:tc>
        <w:tc>
          <w:tcPr>
            <w:tcW w:type="dxa" w:w="7488"/>
          </w:tcPr>
          <w:p>
            <w:r/>
          </w:p>
        </w:tc>
      </w:tr>
    </w:tbl>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会话令牌由服务端登录接口签发(非客户端生成)，不同会话令牌不同，具备唯一性；未观察到可预测的会话标识生成方式。</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会话固定需构造登录前后会话标识对比场景验证，本次未系统开展，据实标记未测试。</w:t>
            </w:r>
          </w:p>
        </w:tc>
      </w:tr>
      <w:tr>
        <w:tc>
          <w:tcPr>
            <w:tcW w:type="dxa" w:w="1872"/>
            <w:shd w:val="clear" w:fill="F2F2F2"/>
          </w:tcPr>
          <w:p>
            <w:r>
              <w:rPr>
                <w:b/>
              </w:rPr>
              <w:t>修复建议</w:t>
            </w:r>
          </w:p>
        </w:tc>
        <w:tc>
          <w:tcPr>
            <w:tcW w:type="dxa" w:w="7488"/>
          </w:tcPr>
          <w:p>
            <w:r>
              <w:t>在认证成功及权限级别变化时重新签发会话标识并强制失效旧标识。</w:t>
            </w:r>
          </w:p>
        </w:tc>
      </w:tr>
      <w:tr>
        <w:tc>
          <w:tcPr>
            <w:tcW w:type="dxa" w:w="1872"/>
            <w:shd w:val="clear" w:fill="F2F2F2"/>
          </w:tcPr>
          <w:p>
            <w:r>
              <w:rPr>
                <w:b/>
              </w:rPr>
              <w:t>备注</w:t>
            </w:r>
          </w:p>
        </w:tc>
        <w:tc>
          <w:tcPr>
            <w:tcW w:type="dxa" w:w="7488"/>
          </w:tcPr>
          <w:p>
            <w:r/>
          </w:p>
        </w:tc>
      </w:tr>
    </w:tbl>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密钥是否在服务端代码中明文存储需服务端代码审计，客户端侧无法判定，据实标记未测试。</w:t>
            </w:r>
          </w:p>
        </w:tc>
      </w:tr>
      <w:tr>
        <w:tc>
          <w:tcPr>
            <w:tcW w:type="dxa" w:w="1872"/>
            <w:shd w:val="clear" w:fill="F2F2F2"/>
          </w:tcPr>
          <w:p>
            <w:r>
              <w:rPr>
                <w:b/>
              </w:rPr>
              <w:t>修复建议</w:t>
            </w:r>
          </w:p>
        </w:tc>
        <w:tc>
          <w:tcPr>
            <w:tcW w:type="dxa" w:w="7488"/>
          </w:tcPr>
          <w:p>
            <w:r>
              <w:t>密钥禁止在代码中明文存储，通过密钥管理服务或环境变量调用并加密保护。</w:t>
            </w:r>
          </w:p>
        </w:tc>
      </w:tr>
      <w:tr>
        <w:tc>
          <w:tcPr>
            <w:tcW w:type="dxa" w:w="1872"/>
            <w:shd w:val="clear" w:fill="F2F2F2"/>
          </w:tcPr>
          <w:p>
            <w:r>
              <w:rPr>
                <w:b/>
              </w:rPr>
              <w:t>备注</w:t>
            </w:r>
          </w:p>
        </w:tc>
        <w:tc>
          <w:tcPr>
            <w:tcW w:type="dxa" w:w="7488"/>
          </w:tcPr>
          <w:p>
            <w:r/>
          </w:p>
        </w:tc>
      </w:tr>
    </w:tbl>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本次授权范围内未涉及云AK/SK凭据的调用与管理场景。</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范围外</w:t>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构造异常请求时，服务端返回通用错误(如统一500)，未观察到中间件/框架堆栈、SQL语句、文件路径等详细错误信息泄露。</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SIM卡管理存在“导入文件”功能，为避免向生产系统写入数据，未开展文件上传绕过/脚本解析类验证，据实标记未测试。</w:t>
            </w:r>
          </w:p>
        </w:tc>
      </w:tr>
      <w:tr>
        <w:tc>
          <w:tcPr>
            <w:tcW w:type="dxa" w:w="1872"/>
            <w:shd w:val="clear" w:fill="F2F2F2"/>
          </w:tcPr>
          <w:p>
            <w:r>
              <w:rPr>
                <w:b/>
              </w:rPr>
              <w:t>修复建议</w:t>
            </w:r>
          </w:p>
        </w:tc>
        <w:tc>
          <w:tcPr>
            <w:tcW w:type="dxa" w:w="7488"/>
          </w:tcPr>
          <w:p>
            <w:r>
              <w:t>文件上传服务端校验后缀白名单、隔离存储目录、禁止脚本解析，上传前强身份校验。</w:t>
            </w:r>
          </w:p>
        </w:tc>
      </w:tr>
      <w:tr>
        <w:tc>
          <w:tcPr>
            <w:tcW w:type="dxa" w:w="1872"/>
            <w:shd w:val="clear" w:fill="F2F2F2"/>
          </w:tcPr>
          <w:p>
            <w:r>
              <w:rPr>
                <w:b/>
              </w:rPr>
              <w:t>备注</w:t>
            </w:r>
          </w:p>
        </w:tc>
        <w:tc>
          <w:tcPr>
            <w:tcW w:type="dxa" w:w="7488"/>
          </w:tcPr>
          <w:p>
            <w:r>
              <w:t>非破坏性约束</w:t>
            </w:r>
          </w:p>
        </w:tc>
      </w:tr>
    </w:tbl>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存在数据导出/下载功能，未针对未授权下载、越权读取非预期目录做专项验证，据实标记未测试。</w:t>
            </w:r>
          </w:p>
        </w:tc>
      </w:tr>
      <w:tr>
        <w:tc>
          <w:tcPr>
            <w:tcW w:type="dxa" w:w="1872"/>
            <w:shd w:val="clear" w:fill="F2F2F2"/>
          </w:tcPr>
          <w:p>
            <w:r>
              <w:rPr>
                <w:b/>
              </w:rPr>
              <w:t>修复建议</w:t>
            </w:r>
          </w:p>
        </w:tc>
        <w:tc>
          <w:tcPr>
            <w:tcW w:type="dxa" w:w="7488"/>
          </w:tcPr>
          <w:p>
            <w:r>
              <w:t>下载功能做权限与路径校验，防止未授权及目录穿越下载。</w:t>
            </w:r>
          </w:p>
        </w:tc>
      </w:tr>
      <w:tr>
        <w:tc>
          <w:tcPr>
            <w:tcW w:type="dxa" w:w="1872"/>
            <w:shd w:val="clear" w:fill="F2F2F2"/>
          </w:tcPr>
          <w:p>
            <w:r>
              <w:rPr>
                <w:b/>
              </w:rPr>
              <w:t>备注</w:t>
            </w:r>
          </w:p>
        </w:tc>
        <w:tc>
          <w:tcPr>
            <w:tcW w:type="dxa" w:w="7488"/>
          </w:tcPr>
          <w:p>
            <w:r/>
          </w:p>
        </w:tc>
      </w:tr>
    </w:tbl>
    <w:p/>
    <w:p>
      <w:pPr>
        <w:pStyle w:val="Heading3"/>
      </w:pPr>
      <w:r>
        <w:t>多线程条件竞争安全测试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多线程条件竞争安全测试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多线程条件竞争需高并发构造，属可能影响业务的测试，本次非破坏性约束下未开展，据实标记未测试。</w:t>
            </w:r>
          </w:p>
        </w:tc>
      </w:tr>
      <w:tr>
        <w:tc>
          <w:tcPr>
            <w:tcW w:type="dxa" w:w="1872"/>
            <w:shd w:val="clear" w:fill="F2F2F2"/>
          </w:tcPr>
          <w:p>
            <w:r>
              <w:rPr>
                <w:b/>
              </w:rPr>
              <w:t>修复建议</w:t>
            </w:r>
          </w:p>
        </w:tc>
        <w:tc>
          <w:tcPr>
            <w:tcW w:type="dxa" w:w="7488"/>
          </w:tcPr>
          <w:p>
            <w:r>
              <w:t>对关键业务操作加锁或使用幂等/事务控制，防止条件竞争。</w:t>
            </w:r>
          </w:p>
        </w:tc>
      </w:tr>
      <w:tr>
        <w:tc>
          <w:tcPr>
            <w:tcW w:type="dxa" w:w="1872"/>
            <w:shd w:val="clear" w:fill="F2F2F2"/>
          </w:tcPr>
          <w:p>
            <w:r>
              <w:rPr>
                <w:b/>
              </w:rPr>
              <w:t>备注</w:t>
            </w:r>
          </w:p>
        </w:tc>
        <w:tc>
          <w:tcPr>
            <w:tcW w:type="dxa" w:w="7488"/>
          </w:tcPr>
          <w:p>
            <w:r>
              <w:t>非破坏性约束</w:t>
            </w:r>
          </w:p>
        </w:tc>
      </w:tr>
    </w:tbl>
    <w:p/>
    <w:p>
      <w:pPr>
        <w:pStyle w:val="Heading3"/>
      </w:pPr>
      <w:r>
        <w:t>重要数据类型验证安全测试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重要参数类型/边界篡改验证可能改写业务数据，本次非破坏性约束下未对生产数据开展，据实标记未测试。</w:t>
            </w:r>
          </w:p>
        </w:tc>
      </w:tr>
      <w:tr>
        <w:tc>
          <w:tcPr>
            <w:tcW w:type="dxa" w:w="1872"/>
            <w:shd w:val="clear" w:fill="F2F2F2"/>
          </w:tcPr>
          <w:p>
            <w:r>
              <w:rPr>
                <w:b/>
              </w:rPr>
              <w:t>修复建议</w:t>
            </w:r>
          </w:p>
        </w:tc>
        <w:tc>
          <w:tcPr>
            <w:tcW w:type="dxa" w:w="7488"/>
          </w:tcPr>
          <w:p>
            <w:r>
              <w:t>服务端对关键参数做类型/范围/空值校验，结合签名防篡改，防止越权或非预期收益。</w:t>
            </w:r>
          </w:p>
        </w:tc>
      </w:tr>
      <w:tr>
        <w:tc>
          <w:tcPr>
            <w:tcW w:type="dxa" w:w="1872"/>
            <w:shd w:val="clear" w:fill="F2F2F2"/>
          </w:tcPr>
          <w:p>
            <w:r>
              <w:rPr>
                <w:b/>
              </w:rPr>
              <w:t>备注</w:t>
            </w:r>
          </w:p>
        </w:tc>
        <w:tc>
          <w:tcPr>
            <w:tcW w:type="dxa" w:w="7488"/>
          </w:tcPr>
          <w:p>
            <w:r>
              <w:t>非破坏性约束</w:t>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业务流程非预期执行验证需实际操作业务流程，本次非破坏性约束下未开展，据实标记未测试。</w:t>
            </w:r>
          </w:p>
        </w:tc>
      </w:tr>
      <w:tr>
        <w:tc>
          <w:tcPr>
            <w:tcW w:type="dxa" w:w="1872"/>
            <w:shd w:val="clear" w:fill="F2F2F2"/>
          </w:tcPr>
          <w:p>
            <w:r>
              <w:rPr>
                <w:b/>
              </w:rPr>
              <w:t>修复建议</w:t>
            </w:r>
          </w:p>
        </w:tc>
        <w:tc>
          <w:tcPr>
            <w:tcW w:type="dxa" w:w="7488"/>
          </w:tcPr>
          <w:p>
            <w:r>
              <w:t>对关键业务流程做状态机校验，防止跳步、乱序等非预期执行。</w:t>
            </w:r>
          </w:p>
        </w:tc>
      </w:tr>
      <w:tr>
        <w:tc>
          <w:tcPr>
            <w:tcW w:type="dxa" w:w="1872"/>
            <w:shd w:val="clear" w:fill="F2F2F2"/>
          </w:tcPr>
          <w:p>
            <w:r>
              <w:rPr>
                <w:b/>
              </w:rPr>
              <w:t>备注</w:t>
            </w:r>
          </w:p>
        </w:tc>
        <w:tc>
          <w:tcPr>
            <w:tcW w:type="dxa" w:w="7488"/>
          </w:tcPr>
          <w:p>
            <w:r>
              <w:t>非破坏性约束</w:t>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系统具备操作审计日志功能，实测可查询操作日志记录，具备日志查询能力（日志越权访问问题见PER-002）。</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实测操作审计日志记录了操作账号、操作动作等，但来源IP(optIp)字段为空(null)，缺少登录/操作源IP等溯源关键字段，安全事件发生时难以有效溯源攻击来源。</w:t>
            </w:r>
          </w:p>
        </w:tc>
      </w:tr>
      <w:tr>
        <w:tc>
          <w:tcPr>
            <w:tcW w:type="dxa" w:w="1872"/>
            <w:shd w:val="clear" w:fill="F2F2F2"/>
          </w:tcPr>
          <w:p>
            <w:r>
              <w:rPr>
                <w:b/>
              </w:rPr>
              <w:t>修复建议</w:t>
            </w:r>
          </w:p>
        </w:tc>
        <w:tc>
          <w:tcPr>
            <w:tcW w:type="dxa" w:w="7488"/>
          </w:tcPr>
          <w:p>
            <w:r>
              <w:t>审计日志补齐源IP、访问接口等关键字段，登录日志包含时间/IP/账号/结果，操作日志包含事件/账号/源IP/接口/动作。</w:t>
            </w:r>
          </w:p>
        </w:tc>
      </w:tr>
      <w:tr>
        <w:tc>
          <w:tcPr>
            <w:tcW w:type="dxa" w:w="1872"/>
            <w:shd w:val="clear" w:fill="F2F2F2"/>
          </w:tcPr>
          <w:p>
            <w:r>
              <w:rPr>
                <w:b/>
              </w:rPr>
              <w:t>备注</w:t>
            </w:r>
          </w:p>
        </w:tc>
        <w:tc>
          <w:tcPr>
            <w:tcW w:type="dxa" w:w="7488"/>
          </w:tcPr>
          <w:p>
            <w:r/>
          </w:p>
        </w:tc>
      </w:tr>
    </w:tbl>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日志存储时长(≥6个月)需后台配置或运维核查，本次无法验证，据实标记未测试。</w:t>
            </w:r>
          </w:p>
        </w:tc>
      </w:tr>
      <w:tr>
        <w:tc>
          <w:tcPr>
            <w:tcW w:type="dxa" w:w="1872"/>
            <w:shd w:val="clear" w:fill="F2F2F2"/>
          </w:tcPr>
          <w:p>
            <w:r>
              <w:rPr>
                <w:b/>
              </w:rPr>
              <w:t>修复建议</w:t>
            </w:r>
          </w:p>
        </w:tc>
        <w:tc>
          <w:tcPr>
            <w:tcW w:type="dxa" w:w="7488"/>
          </w:tcPr>
          <w:p>
            <w:r>
              <w:t>安全审计日志留存不少于6个月，并保证不可篡改、不可删除。</w:t>
            </w:r>
          </w:p>
        </w:tc>
      </w:tr>
      <w:tr>
        <w:tc>
          <w:tcPr>
            <w:tcW w:type="dxa" w:w="1872"/>
            <w:shd w:val="clear" w:fill="F2F2F2"/>
          </w:tcPr>
          <w:p>
            <w:r>
              <w:rPr>
                <w:b/>
              </w:rPr>
              <w:t>备注</w:t>
            </w:r>
          </w:p>
        </w:tc>
        <w:tc>
          <w:tcPr>
            <w:tcW w:type="dxa" w:w="7488"/>
          </w:tcPr>
          <w:p>
            <w:r/>
          </w:p>
        </w:tc>
      </w:tr>
    </w:tbl>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登录口令经加密提交(非明文)，认证接口以加密请求体传输凭据；业务接口经HTTPS承载。就客户端可观察范围看凭据未明文传输。（注：经HTTP隧道无法独立核验目标真实TLS版本与套件，相关TLS项见VULN-001。）</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TLS版本经隧道无法独立取证</w:t>
            </w:r>
          </w:p>
        </w:tc>
      </w:tr>
    </w:tbl>
    <w:p>
      <w:pPr>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fig01_login_success.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图2：管理员账号成功登录（认证凭据加密传输）</w:t>
      </w:r>
    </w:p>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管理端SIM卡信息列表默认以明文完整展示MSISDN、ICCID、IMSI、车辆VIN等敏感标识，未做默认脱敏(如中间位掩码)。敏感业务标识默认明文展示存在通过录屏/截屏等方式泄露的风险。(证据截图中相关敏感字段已由测试方脱敏处理。)</w:t>
            </w:r>
          </w:p>
        </w:tc>
      </w:tr>
      <w:tr>
        <w:tc>
          <w:tcPr>
            <w:tcW w:type="dxa" w:w="1872"/>
            <w:shd w:val="clear" w:fill="F2F2F2"/>
          </w:tcPr>
          <w:p>
            <w:r>
              <w:rPr>
                <w:b/>
              </w:rPr>
              <w:t>修复建议</w:t>
            </w:r>
          </w:p>
        </w:tc>
        <w:tc>
          <w:tcPr>
            <w:tcW w:type="dxa" w:w="7488"/>
          </w:tcPr>
          <w:p>
            <w:r>
              <w:t>对MSISDN、ICCID、IMSI、VIN等敏感标识默认脱敏展示，按需通过“显示详情”逐条明文查看并记录操作日志。</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3" name="Picture 3"/>
            <wp:cNvGraphicFramePr>
              <a:graphicFrameLocks noChangeAspect="1"/>
            </wp:cNvGraphicFramePr>
            <a:graphic>
              <a:graphicData uri="http://schemas.openxmlformats.org/drawingml/2006/picture">
                <pic:pic>
                  <pic:nvPicPr>
                    <pic:cNvPr id="0" name="fig03_admin_sim_list.png"/>
                    <pic:cNvPicPr/>
                  </pic:nvPicPr>
                  <pic:blipFill>
                    <a:blip r:embed="rId11"/>
                    <a:stretch>
                      <a:fillRect/>
                    </a:stretch>
                  </pic:blipFill>
                  <pic:spPr>
                    <a:xfrm>
                      <a:off x="0" y="0"/>
                      <a:ext cx="4937760" cy="2777490"/>
                    </a:xfrm>
                    <a:prstGeom prst="rect"/>
                  </pic:spPr>
                </pic:pic>
              </a:graphicData>
            </a:graphic>
          </wp:inline>
        </w:drawing>
      </w:r>
    </w:p>
    <w:p>
      <w:pPr>
        <w:jc w:val="center"/>
      </w:pPr>
      <w:r>
        <w:rPr>
          <w:i/>
          <w:sz w:val="18"/>
        </w:rPr>
        <w:t>图3：管理端SIM卡信息默认明文展示敏感标识（图中敏感字段已脱敏）</w:t>
      </w:r>
    </w:p>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存在数据导出功能，其是否经审批流程管控、是否记录导出日志、是否加密导出，本次未做专项验证，据实标记未测试。</w:t>
            </w:r>
          </w:p>
        </w:tc>
      </w:tr>
      <w:tr>
        <w:tc>
          <w:tcPr>
            <w:tcW w:type="dxa" w:w="1872"/>
            <w:shd w:val="clear" w:fill="F2F2F2"/>
          </w:tcPr>
          <w:p>
            <w:r>
              <w:rPr>
                <w:b/>
              </w:rPr>
              <w:t>修复建议</w:t>
            </w:r>
          </w:p>
        </w:tc>
        <w:tc>
          <w:tcPr>
            <w:tcW w:type="dxa" w:w="7488"/>
          </w:tcPr>
          <w:p>
            <w:r>
              <w:t>三级系统数据导出经审批并记录导出日志，含个人信息的导出文件加密。</w:t>
            </w:r>
          </w:p>
        </w:tc>
      </w:tr>
      <w:tr>
        <w:tc>
          <w:tcPr>
            <w:tcW w:type="dxa" w:w="1872"/>
            <w:shd w:val="clear" w:fill="F2F2F2"/>
          </w:tcPr>
          <w:p>
            <w:r>
              <w:rPr>
                <w:b/>
              </w:rPr>
              <w:t>备注</w:t>
            </w:r>
          </w:p>
        </w:tc>
        <w:tc>
          <w:tcPr>
            <w:tcW w:type="dxa" w:w="7488"/>
          </w:tcPr>
          <w:p>
            <w:r/>
          </w:p>
        </w:tc>
      </w:tr>
    </w:tbl>
    <w:p/>
    <w:p>
      <w:pPr>
        <w:pStyle w:val="Heading2"/>
      </w:pPr>
      <w:r>
        <w:t>常见漏洞</w:t>
      </w:r>
    </w:p>
    <w:p>
      <w:pPr>
        <w:pStyle w:val="Heading3"/>
      </w:pPr>
      <w:r>
        <w:t>HTTPS协议安全测试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HTTPS协议安全测试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本次经授权内网穿透HTTP隧道访问，隧道在中间终止TLS，无法独立核验目标真实的HTTPS启用情况、TLS协议版本与加密套件，据实标记未测试。</w:t>
            </w:r>
          </w:p>
        </w:tc>
      </w:tr>
      <w:tr>
        <w:tc>
          <w:tcPr>
            <w:tcW w:type="dxa" w:w="1872"/>
            <w:shd w:val="clear" w:fill="F2F2F2"/>
          </w:tcPr>
          <w:p>
            <w:r>
              <w:rPr>
                <w:b/>
              </w:rPr>
              <w:t>修复建议</w:t>
            </w:r>
          </w:p>
        </w:tc>
        <w:tc>
          <w:tcPr>
            <w:tcW w:type="dxa" w:w="7488"/>
          </w:tcPr>
          <w:p>
            <w:r>
              <w:t>强制全站HTTPS，禁用TLS1.0/1.1，仅启用TLS1.2及以上并配置前向保密套件。</w:t>
            </w:r>
          </w:p>
        </w:tc>
      </w:tr>
      <w:tr>
        <w:tc>
          <w:tcPr>
            <w:tcW w:type="dxa" w:w="1872"/>
            <w:shd w:val="clear" w:fill="F2F2F2"/>
          </w:tcPr>
          <w:p>
            <w:r>
              <w:rPr>
                <w:b/>
              </w:rPr>
              <w:t>备注</w:t>
            </w:r>
          </w:p>
        </w:tc>
        <w:tc>
          <w:tcPr>
            <w:tcW w:type="dxa" w:w="7488"/>
          </w:tcPr>
          <w:p>
            <w:r>
              <w:t>隧道终止TLS，无法独立取证</w:t>
            </w:r>
          </w:p>
        </w:tc>
      </w:tr>
    </w:tbl>
    <w:p/>
    <w:p>
      <w:pPr>
        <w:pStyle w:val="Heading3"/>
      </w:pPr>
      <w:r>
        <w:t>HTTP请求方法安全测试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HTTP请求方法安全测试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实测对目标发起TRACE/PUT/DELETE等方法请求均被限制(未被允许执行)，未观察到危险HTTP方法开放。</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为避免账号锁定与影响生产，未开展弱口令爆破类测试，据实标记未测试。</w:t>
            </w:r>
          </w:p>
        </w:tc>
      </w:tr>
      <w:tr>
        <w:tc>
          <w:tcPr>
            <w:tcW w:type="dxa" w:w="1872"/>
            <w:shd w:val="clear" w:fill="F2F2F2"/>
          </w:tcPr>
          <w:p>
            <w:r>
              <w:rPr>
                <w:b/>
              </w:rPr>
              <w:t>修复建议</w:t>
            </w:r>
          </w:p>
        </w:tc>
        <w:tc>
          <w:tcPr>
            <w:tcW w:type="dxa" w:w="7488"/>
          </w:tcPr>
          <w:p>
            <w:r>
              <w:t>强制强密码策略并结合验证码/锁定策略，防止弱口令与暴力破解。</w:t>
            </w:r>
          </w:p>
        </w:tc>
      </w:tr>
      <w:tr>
        <w:tc>
          <w:tcPr>
            <w:tcW w:type="dxa" w:w="1872"/>
            <w:shd w:val="clear" w:fill="F2F2F2"/>
          </w:tcPr>
          <w:p>
            <w:r>
              <w:rPr>
                <w:b/>
              </w:rPr>
              <w:t>备注</w:t>
            </w:r>
          </w:p>
        </w:tc>
        <w:tc>
          <w:tcPr>
            <w:tcW w:type="dxa" w:w="7488"/>
          </w:tcPr>
          <w:p>
            <w:r>
              <w:t>非破坏性约束</w:t>
            </w:r>
          </w:p>
        </w:tc>
      </w:tr>
    </w:tbl>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为避免向生产系统注入持久化内容，未开展存储型/反射型XSS主动利用测试；仅观察到缺少CSP等防御性响应头(见SESS-001)。据实标记未测试。</w:t>
            </w:r>
          </w:p>
        </w:tc>
      </w:tr>
      <w:tr>
        <w:tc>
          <w:tcPr>
            <w:tcW w:type="dxa" w:w="1872"/>
            <w:shd w:val="clear" w:fill="F2F2F2"/>
          </w:tcPr>
          <w:p>
            <w:r>
              <w:rPr>
                <w:b/>
              </w:rPr>
              <w:t>修复建议</w:t>
            </w:r>
          </w:p>
        </w:tc>
        <w:tc>
          <w:tcPr>
            <w:tcW w:type="dxa" w:w="7488"/>
          </w:tcPr>
          <w:p>
            <w:r>
              <w:t>对输入做校验、输出做上下文编码，配置CSP，敏感Cookie启用HttpOnly，纵深防御XSS。</w:t>
            </w:r>
          </w:p>
        </w:tc>
      </w:tr>
      <w:tr>
        <w:tc>
          <w:tcPr>
            <w:tcW w:type="dxa" w:w="1872"/>
            <w:shd w:val="clear" w:fill="F2F2F2"/>
          </w:tcPr>
          <w:p>
            <w:r>
              <w:rPr>
                <w:b/>
              </w:rPr>
              <w:t>备注</w:t>
            </w:r>
          </w:p>
        </w:tc>
        <w:tc>
          <w:tcPr>
            <w:tcW w:type="dxa" w:w="7488"/>
          </w:tcPr>
          <w:p>
            <w:r>
              <w:t>非破坏性约束</w:t>
            </w:r>
          </w:p>
        </w:tc>
      </w:tr>
    </w:tbl>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未识别到明显XML数据交互入口，且非破坏性约束下未开展XXE注入验证，据实标记未测试。</w:t>
            </w:r>
          </w:p>
        </w:tc>
      </w:tr>
      <w:tr>
        <w:tc>
          <w:tcPr>
            <w:tcW w:type="dxa" w:w="1872"/>
            <w:shd w:val="clear" w:fill="F2F2F2"/>
          </w:tcPr>
          <w:p>
            <w:r>
              <w:rPr>
                <w:b/>
              </w:rPr>
              <w:t>修复建议</w:t>
            </w:r>
          </w:p>
        </w:tc>
        <w:tc>
          <w:tcPr>
            <w:tcW w:type="dxa" w:w="7488"/>
          </w:tcPr>
          <w:p>
            <w:r>
              <w:t>XML解析禁用外部实体加载，使用安全解析器配置。</w:t>
            </w:r>
          </w:p>
        </w:tc>
      </w:tr>
      <w:tr>
        <w:tc>
          <w:tcPr>
            <w:tcW w:type="dxa" w:w="1872"/>
            <w:shd w:val="clear" w:fill="F2F2F2"/>
          </w:tcPr>
          <w:p>
            <w:r>
              <w:rPr>
                <w:b/>
              </w:rPr>
              <w:t>备注</w:t>
            </w:r>
          </w:p>
        </w:tc>
        <w:tc>
          <w:tcPr>
            <w:tcW w:type="dxa" w:w="7488"/>
          </w:tcPr>
          <w:p>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应用认证态使用自定义请求头(accessToken)承载令牌，而非浏览器自动携带的Cookie，跨站请求无法自动带上有效凭据，从机制上显著降低CSRF可行性；实测未发现基于Cookie自动提交的CSRF利用面。</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令牌置于自定义头，天然缓解CSRF</w:t>
            </w:r>
          </w:p>
        </w:tc>
      </w:tr>
    </w:tbl>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未识别到明确的服务端外呼/URL获取入口，且非破坏性约束下未开展SSRF主动验证，据实标记未测试。</w:t>
            </w:r>
          </w:p>
        </w:tc>
      </w:tr>
      <w:tr>
        <w:tc>
          <w:tcPr>
            <w:tcW w:type="dxa" w:w="1872"/>
            <w:shd w:val="clear" w:fill="F2F2F2"/>
          </w:tcPr>
          <w:p>
            <w:r>
              <w:rPr>
                <w:b/>
              </w:rPr>
              <w:t>修复建议</w:t>
            </w:r>
          </w:p>
        </w:tc>
        <w:tc>
          <w:tcPr>
            <w:tcW w:type="dxa" w:w="7488"/>
          </w:tcPr>
          <w:p>
            <w:r>
              <w:t>对涉及服务端发起请求的功能做地址白名单与输入校验，禁止访问内网元数据地址。</w:t>
            </w:r>
          </w:p>
        </w:tc>
      </w:tr>
      <w:tr>
        <w:tc>
          <w:tcPr>
            <w:tcW w:type="dxa" w:w="1872"/>
            <w:shd w:val="clear" w:fill="F2F2F2"/>
          </w:tcPr>
          <w:p>
            <w:r>
              <w:rPr>
                <w:b/>
              </w:rPr>
              <w:t>备注</w:t>
            </w:r>
          </w:p>
        </w:tc>
        <w:tc>
          <w:tcPr>
            <w:tcW w:type="dxa" w:w="7488"/>
          </w:tcPr>
          <w:p>
            <w:r>
              <w:t>非破坏性约束</w:t>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为遵循最小影响与非破坏性原则，未开展SQL注入主动利用测试，据实标记未测试。</w:t>
            </w:r>
          </w:p>
        </w:tc>
      </w:tr>
      <w:tr>
        <w:tc>
          <w:tcPr>
            <w:tcW w:type="dxa" w:w="1872"/>
            <w:shd w:val="clear" w:fill="F2F2F2"/>
          </w:tcPr>
          <w:p>
            <w:r>
              <w:rPr>
                <w:b/>
              </w:rPr>
              <w:t>修复建议</w:t>
            </w:r>
          </w:p>
        </w:tc>
        <w:tc>
          <w:tcPr>
            <w:tcW w:type="dxa" w:w="7488"/>
          </w:tcPr>
          <w:p>
            <w:r>
              <w:t>全面使用参数化查询/预编译，做输入校验，防止SQL注入。</w:t>
            </w:r>
          </w:p>
        </w:tc>
      </w:tr>
      <w:tr>
        <w:tc>
          <w:tcPr>
            <w:tcW w:type="dxa" w:w="1872"/>
            <w:shd w:val="clear" w:fill="F2F2F2"/>
          </w:tcPr>
          <w:p>
            <w:r>
              <w:rPr>
                <w:b/>
              </w:rPr>
              <w:t>备注</w:t>
            </w:r>
          </w:p>
        </w:tc>
        <w:tc>
          <w:tcPr>
            <w:tcW w:type="dxa" w:w="7488"/>
          </w:tcPr>
          <w:p>
            <w:r>
              <w:t>非破坏性约束</w:t>
            </w:r>
          </w:p>
        </w:tc>
      </w:tr>
    </w:tbl>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未识别到LDAP目录查询交互场景，且非破坏性约束下未开展LDAP注入验证，据实标记未测试。</w:t>
            </w:r>
          </w:p>
        </w:tc>
      </w:tr>
      <w:tr>
        <w:tc>
          <w:tcPr>
            <w:tcW w:type="dxa" w:w="1872"/>
            <w:shd w:val="clear" w:fill="F2F2F2"/>
          </w:tcPr>
          <w:p>
            <w:r>
              <w:rPr>
                <w:b/>
              </w:rPr>
              <w:t>修复建议</w:t>
            </w:r>
          </w:p>
        </w:tc>
        <w:tc>
          <w:tcPr>
            <w:tcW w:type="dxa" w:w="7488"/>
          </w:tcPr>
          <w:p>
            <w:r>
              <w:t>对LDAP查询输入做转义与白名单校验，防止LDAP注入。</w:t>
            </w:r>
          </w:p>
        </w:tc>
      </w:tr>
      <w:tr>
        <w:tc>
          <w:tcPr>
            <w:tcW w:type="dxa" w:w="1872"/>
            <w:shd w:val="clear" w:fill="F2F2F2"/>
          </w:tcPr>
          <w:p>
            <w:r>
              <w:rPr>
                <w:b/>
              </w:rPr>
              <w:t>备注</w:t>
            </w:r>
          </w:p>
        </w:tc>
        <w:tc>
          <w:tcPr>
            <w:tcW w:type="dxa" w:w="7488"/>
          </w:tcPr>
          <w:p>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未识别到明显的动态文件包含入口，且非破坏性约束下未开展文件包含验证，据实标记未测试。</w:t>
            </w:r>
          </w:p>
        </w:tc>
      </w:tr>
      <w:tr>
        <w:tc>
          <w:tcPr>
            <w:tcW w:type="dxa" w:w="1872"/>
            <w:shd w:val="clear" w:fill="F2F2F2"/>
          </w:tcPr>
          <w:p>
            <w:r>
              <w:rPr>
                <w:b/>
              </w:rPr>
              <w:t>修复建议</w:t>
            </w:r>
          </w:p>
        </w:tc>
        <w:tc>
          <w:tcPr>
            <w:tcW w:type="dxa" w:w="7488"/>
          </w:tcPr>
          <w:p>
            <w:r>
              <w:t>限制文件包含参数为安全白名单目录，过滤路径穿越与协议头。</w:t>
            </w:r>
          </w:p>
        </w:tc>
      </w:tr>
      <w:tr>
        <w:tc>
          <w:tcPr>
            <w:tcW w:type="dxa" w:w="1872"/>
            <w:shd w:val="clear" w:fill="F2F2F2"/>
          </w:tcPr>
          <w:p>
            <w:r>
              <w:rPr>
                <w:b/>
              </w:rPr>
              <w:t>备注</w:t>
            </w:r>
          </w:p>
        </w:tc>
        <w:tc>
          <w:tcPr>
            <w:tcW w:type="dxa" w:w="7488"/>
          </w:tcPr>
          <w:p>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反序列化漏洞验证具有破坏性风险，本次非破坏性约束下未开展，据实标记未测试。</w:t>
            </w:r>
          </w:p>
        </w:tc>
      </w:tr>
      <w:tr>
        <w:tc>
          <w:tcPr>
            <w:tcW w:type="dxa" w:w="1872"/>
            <w:shd w:val="clear" w:fill="F2F2F2"/>
          </w:tcPr>
          <w:p>
            <w:r>
              <w:rPr>
                <w:b/>
              </w:rPr>
              <w:t>修复建议</w:t>
            </w:r>
          </w:p>
        </w:tc>
        <w:tc>
          <w:tcPr>
            <w:tcW w:type="dxa" w:w="7488"/>
          </w:tcPr>
          <w:p>
            <w:r>
              <w:t>对不可信反序列化输入做白名单与校验，禁用不安全的自动类型转换。</w:t>
            </w:r>
          </w:p>
        </w:tc>
      </w:tr>
      <w:tr>
        <w:tc>
          <w:tcPr>
            <w:tcW w:type="dxa" w:w="1872"/>
            <w:shd w:val="clear" w:fill="F2F2F2"/>
          </w:tcPr>
          <w:p>
            <w:r>
              <w:rPr>
                <w:b/>
              </w:rPr>
              <w:t>备注</w:t>
            </w:r>
          </w:p>
        </w:tc>
        <w:tc>
          <w:tcPr>
            <w:tcW w:type="dxa" w:w="7488"/>
          </w:tcPr>
          <w:p>
            <w:r>
              <w:t>非破坏性约束</w:t>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远程命令执行验证具有破坏性风险，本次非破坏性约束下未开展，据实标记未测试。</w:t>
            </w:r>
          </w:p>
        </w:tc>
      </w:tr>
      <w:tr>
        <w:tc>
          <w:tcPr>
            <w:tcW w:type="dxa" w:w="1872"/>
            <w:shd w:val="clear" w:fill="F2F2F2"/>
          </w:tcPr>
          <w:p>
            <w:r>
              <w:rPr>
                <w:b/>
              </w:rPr>
              <w:t>修复建议</w:t>
            </w:r>
          </w:p>
        </w:tc>
        <w:tc>
          <w:tcPr>
            <w:tcW w:type="dxa" w:w="7488"/>
          </w:tcPr>
          <w:p>
            <w:r>
              <w:t>避免直接调用系统命令，严格输入校验与过滤，最小权限运行。</w:t>
            </w:r>
          </w:p>
        </w:tc>
      </w:tr>
      <w:tr>
        <w:tc>
          <w:tcPr>
            <w:tcW w:type="dxa" w:w="1872"/>
            <w:shd w:val="clear" w:fill="F2F2F2"/>
          </w:tcPr>
          <w:p>
            <w:r>
              <w:rPr>
                <w:b/>
              </w:rPr>
              <w:t>备注</w:t>
            </w:r>
          </w:p>
        </w:tc>
        <w:tc>
          <w:tcPr>
            <w:tcW w:type="dxa" w:w="7488"/>
          </w:tcPr>
          <w:p>
            <w:r>
              <w:t>非破坏性约束</w:t>
            </w:r>
          </w:p>
        </w:tc>
      </w:tr>
    </w:tbl>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未对全站页面源码做系统化暗链/隐藏链接排查，据实标记未测试。</w:t>
            </w:r>
          </w:p>
        </w:tc>
      </w:tr>
      <w:tr>
        <w:tc>
          <w:tcPr>
            <w:tcW w:type="dxa" w:w="1872"/>
            <w:shd w:val="clear" w:fill="F2F2F2"/>
          </w:tcPr>
          <w:p>
            <w:r>
              <w:rPr>
                <w:b/>
              </w:rPr>
              <w:t>修复建议</w:t>
            </w:r>
          </w:p>
        </w:tc>
        <w:tc>
          <w:tcPr>
            <w:tcW w:type="dxa" w:w="7488"/>
          </w:tcPr>
          <w:p>
            <w:r>
              <w:t>定期审查页面源码排查隐藏链接，保持组件更新并做备份恢复。</w:t>
            </w:r>
          </w:p>
        </w:tc>
      </w:tr>
      <w:tr>
        <w:tc>
          <w:tcPr>
            <w:tcW w:type="dxa" w:w="1872"/>
            <w:shd w:val="clear" w:fill="F2F2F2"/>
          </w:tcPr>
          <w:p>
            <w:r>
              <w:rPr>
                <w:b/>
              </w:rPr>
              <w:t>备注</w:t>
            </w:r>
          </w:p>
        </w:tc>
        <w:tc>
          <w:tcPr>
            <w:tcW w:type="dxa" w:w="7488"/>
          </w:tcPr>
          <w:p>
            <w:r/>
          </w:p>
        </w:tc>
      </w:tr>
    </w:tbl>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3、安全配置：遵循最佳安全实践，确保框架和中间件的配置是安全的，不要依赖默认配置。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开发框架/中间件的具体版本与已知漏洞对应关系需服务端侧核查，客户端无法完整判定，据实标记未测试。</w:t>
            </w:r>
          </w:p>
        </w:tc>
      </w:tr>
      <w:tr>
        <w:tc>
          <w:tcPr>
            <w:tcW w:type="dxa" w:w="1872"/>
            <w:shd w:val="clear" w:fill="F2F2F2"/>
          </w:tcPr>
          <w:p>
            <w:r>
              <w:rPr>
                <w:b/>
              </w:rPr>
              <w:t>修复建议</w:t>
            </w:r>
          </w:p>
        </w:tc>
        <w:tc>
          <w:tcPr>
            <w:tcW w:type="dxa" w:w="7488"/>
          </w:tcPr>
          <w:p>
            <w:r>
              <w:t>升级框架与中间件至安全版本，遵循安全配置基线，避免默认配置。</w:t>
            </w:r>
          </w:p>
        </w:tc>
      </w:tr>
      <w:tr>
        <w:tc>
          <w:tcPr>
            <w:tcW w:type="dxa" w:w="1872"/>
            <w:shd w:val="clear" w:fill="F2F2F2"/>
          </w:tcPr>
          <w:p>
            <w:r>
              <w:rPr>
                <w:b/>
              </w:rPr>
              <w:t>备注</w:t>
            </w:r>
          </w:p>
        </w:tc>
        <w:tc>
          <w:tcPr>
            <w:tcW w:type="dxa" w:w="7488"/>
          </w:tcPr>
          <w:p>
            <w:r/>
          </w:p>
        </w:tc>
      </w:tr>
    </w:tbl>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未对Actuator、Swagger、Eureka、MongoDB等常见未授权访问组件做系统化探测，据实标记未测试。（认证态下的功能级越权见PER-002。）</w:t>
            </w:r>
          </w:p>
        </w:tc>
      </w:tr>
      <w:tr>
        <w:tc>
          <w:tcPr>
            <w:tcW w:type="dxa" w:w="1872"/>
            <w:shd w:val="clear" w:fill="F2F2F2"/>
          </w:tcPr>
          <w:p>
            <w:r>
              <w:rPr>
                <w:b/>
              </w:rPr>
              <w:t>修复建议</w:t>
            </w:r>
          </w:p>
        </w:tc>
        <w:tc>
          <w:tcPr>
            <w:tcW w:type="dxa" w:w="7488"/>
          </w:tcPr>
          <w:p>
            <w:r>
              <w:t>排查并关闭组件未授权访问入口，管理端点强制鉴权。</w:t>
            </w:r>
          </w:p>
        </w:tc>
      </w:tr>
      <w:tr>
        <w:tc>
          <w:tcPr>
            <w:tcW w:type="dxa" w:w="1872"/>
            <w:shd w:val="clear" w:fill="F2F2F2"/>
          </w:tcPr>
          <w:p>
            <w:r>
              <w:rPr>
                <w:b/>
              </w:rPr>
              <w:t>备注</w:t>
            </w:r>
          </w:p>
        </w:tc>
        <w:tc>
          <w:tcPr>
            <w:tcW w:type="dxa" w:w="7488"/>
          </w:tcPr>
          <w:p>
            <w:r/>
          </w:p>
        </w:tc>
      </w:tr>
    </w:tbl>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未对源码/配置/备份文件泄露、默认示例文件等做系统化敏感信息泄露探测，据实标记未测试。（页面敏感数据未脱敏见DATA-002。）</w:t>
            </w:r>
          </w:p>
        </w:tc>
      </w:tr>
      <w:tr>
        <w:tc>
          <w:tcPr>
            <w:tcW w:type="dxa" w:w="1872"/>
            <w:shd w:val="clear" w:fill="F2F2F2"/>
          </w:tcPr>
          <w:p>
            <w:r>
              <w:rPr>
                <w:b/>
              </w:rPr>
              <w:t>修复建议</w:t>
            </w:r>
          </w:p>
        </w:tc>
        <w:tc>
          <w:tcPr>
            <w:tcW w:type="dxa" w:w="7488"/>
          </w:tcPr>
          <w:p>
            <w:r>
              <w:t>清理公开可访问的源码/配置/备份/示例文件，管理入口强口令与鉴权。</w:t>
            </w:r>
          </w:p>
        </w:tc>
      </w:tr>
      <w:tr>
        <w:tc>
          <w:tcPr>
            <w:tcW w:type="dxa" w:w="1872"/>
            <w:shd w:val="clear" w:fill="F2F2F2"/>
          </w:tcPr>
          <w:p>
            <w:r>
              <w:rPr>
                <w:b/>
              </w:rPr>
              <w:t>备注</w:t>
            </w:r>
          </w:p>
        </w:tc>
        <w:tc>
          <w:tcPr>
            <w:tcW w:type="dxa" w:w="7488"/>
          </w:tcPr>
          <w:p>
            <w:r/>
          </w:p>
        </w:tc>
      </w:tr>
    </w:tbl>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拒绝服务类(处理用时)验证可能影响业务可用性，本次非破坏性约束下未开展，据实标记未测试。</w:t>
            </w:r>
          </w:p>
        </w:tc>
      </w:tr>
      <w:tr>
        <w:tc>
          <w:tcPr>
            <w:tcW w:type="dxa" w:w="1872"/>
            <w:shd w:val="clear" w:fill="F2F2F2"/>
          </w:tcPr>
          <w:p>
            <w:r>
              <w:rPr>
                <w:b/>
              </w:rPr>
              <w:t>修复建议</w:t>
            </w:r>
          </w:p>
        </w:tc>
        <w:tc>
          <w:tcPr>
            <w:tcW w:type="dxa" w:w="7488"/>
          </w:tcPr>
          <w:p>
            <w:r>
              <w:t>对耗时操作做超时与资源限制，防止拒绝服务。</w:t>
            </w:r>
          </w:p>
        </w:tc>
      </w:tr>
      <w:tr>
        <w:tc>
          <w:tcPr>
            <w:tcW w:type="dxa" w:w="1872"/>
            <w:shd w:val="clear" w:fill="F2F2F2"/>
          </w:tcPr>
          <w:p>
            <w:r>
              <w:rPr>
                <w:b/>
              </w:rPr>
              <w:t>备注</w:t>
            </w:r>
          </w:p>
        </w:tc>
        <w:tc>
          <w:tcPr>
            <w:tcW w:type="dxa" w:w="7488"/>
          </w:tcPr>
          <w:p>
            <w:r>
              <w:t>非破坏性约束</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