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丰智云链（SF-SCM）供应链管理平台</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w:t>
      </w:r>
    </w:p>
    <w:p/>
    <w:p/>
    <w:p/>
    <w:p/>
    <w:p/>
    <w:p/>
    <w:p>
      <w:pPr>
        <w:jc w:val="center"/>
      </w:pPr>
      <w:r>
        <w:rPr>
          <w:rFonts w:ascii="微软雅黑" w:hAnsi="微软雅黑" w:eastAsia="微软雅黑"/>
          <w:b w:val="0"/>
          <w:sz w:val="26"/>
        </w:rPr>
        <w:t>委托单位：东风汽车股份有限公司</w:t>
      </w:r>
    </w:p>
    <w:p>
      <w:pPr>
        <w:jc w:val="center"/>
      </w:pPr>
      <w:r>
        <w:rPr>
          <w:rFonts w:ascii="微软雅黑" w:hAnsi="微软雅黑" w:eastAsia="微软雅黑"/>
          <w:b w:val="0"/>
          <w:sz w:val="26"/>
        </w:rPr>
        <w:t>测试人员：兰浩淼</w:t>
      </w:r>
    </w:p>
    <w:p>
      <w:pPr>
        <w:jc w:val="center"/>
      </w:pPr>
      <w:r>
        <w:rPr>
          <w:rFonts w:ascii="微软雅黑" w:hAnsi="微软雅黑" w:eastAsia="微软雅黑"/>
          <w:b w:val="0"/>
          <w:sz w:val="26"/>
        </w:rPr>
        <w:t>测试日期：2026年07月20日</w:t>
      </w:r>
    </w:p>
    <w:p/>
    <w:p/>
    <w:p/>
    <w:p/>
    <w:p/>
    <w:p/>
    <w:p>
      <w:pPr>
        <w:jc w:val="center"/>
      </w:pPr>
      <w:r>
        <w:rPr>
          <w:rFonts w:ascii="微软雅黑" w:hAnsi="微软雅黑" w:eastAsia="微软雅黑"/>
          <w:b w:val="0"/>
          <w:sz w:val="24"/>
        </w:rPr>
        <w:t>深圳联友科技有限公司湖北分公司</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http://内网IP:8003/fp/（经授权内网穿透访问，已脱敏）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《OWASP安全测试指南V4.0》</w:t>
      </w:r>
    </w:p>
    <w:p>
      <w:pPr>
        <w:pStyle w:val="ListBullet"/>
      </w:pPr>
      <w:r>
        <w:t>《OWASP TOP10》</w:t>
      </w:r>
    </w:p>
    <w:p>
      <w:pPr>
        <w:pStyle w:val="ListBullet"/>
      </w:pPr>
      <w:r>
        <w:t>《渗透测试执行标准PTES（Penetration Testing Execution Standard）》</w:t>
      </w:r>
    </w:p>
    <w:p>
      <w:pPr>
        <w:pStyle w:val="ListBullet"/>
      </w:pPr>
      <w:r>
        <w:t>《ISO/IEC 27001信息安全管理》</w:t>
      </w:r>
    </w:p>
    <w:p>
      <w:pPr>
        <w:pStyle w:val="ListBullet"/>
      </w:pPr>
      <w:r>
        <w:t>《GB/T 30279-2020 信息安全技术 网络安全漏洞分类分级指南》</w:t>
      </w:r>
    </w:p>
    <w:p>
      <w:pPr>
        <w:pStyle w:val="ListBullet"/>
      </w:pPr>
      <w:r>
        <w:t>《GB/T 30276-2020 信息安全技术 网络安全漏洞管理规范》</w:t>
      </w:r>
    </w:p>
    <w:p>
      <w:pPr>
        <w:pStyle w:val="ListBullet"/>
      </w:pPr>
      <w:r>
        <w:t>《GB/T 22239-2019 信息安全技术 网络安全等级保护基本要求》</w:t>
      </w:r>
    </w:p>
    <w:p>
      <w:pPr>
        <w:pStyle w:val="ListBullet"/>
      </w:pPr>
      <w:r>
        <w:t>《GB/T 40856-2021 车载信息交互系统信息安全技术要求及试验方法》</w:t>
      </w:r>
    </w:p>
    <w:p>
      <w:pPr>
        <w:pStyle w:val="ListBullet"/>
      </w:pPr>
      <w:r>
        <w:t>《汽车数据安全管理若干规定（试行）》</w:t>
      </w:r>
    </w:p>
    <w:p>
      <w:pPr>
        <w:pStyle w:val="ListBullet"/>
      </w:pPr>
      <w:r>
        <w:t>《中华人民共和国网络安全法》</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丰智云链（SF-SCM）供应链管理平台，不涉及主机、配置等其他检测。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页面/JS/Cookie/请求响应观察取证、真实登录深测</w:t>
            </w:r>
          </w:p>
        </w:tc>
      </w:tr>
      <w:tr>
        <w:tc>
          <w:tcPr>
            <w:tcW w:type="dxa" w:w="2880"/>
          </w:tcPr>
          <w:p>
            <w:r>
              <w:t>curl</w:t>
            </w:r>
          </w:p>
        </w:tc>
        <w:tc>
          <w:tcPr>
            <w:tcW w:type="dxa" w:w="2880"/>
          </w:tcPr>
          <w:p>
            <w:r>
              <w:t>手工检测</w:t>
            </w:r>
          </w:p>
        </w:tc>
        <w:tc>
          <w:tcPr>
            <w:tcW w:type="dxa" w:w="2880"/>
          </w:tcPr>
          <w:p>
            <w:r>
              <w:t>HTTP 请求构造、响应头/CORS/HTTP 方法验证</w:t>
            </w:r>
          </w:p>
        </w:tc>
      </w:tr>
      <w:tr>
        <w:tc>
          <w:tcPr>
            <w:tcW w:type="dxa" w:w="2880"/>
          </w:tcPr>
          <w:p>
            <w:r>
              <w:t>cpolar</w:t>
            </w:r>
          </w:p>
        </w:tc>
        <w:tc>
          <w:tcPr>
            <w:tcW w:type="dxa" w:w="2880"/>
          </w:tcPr>
          <w:p>
            <w:r>
              <w:t>内网穿透</w:t>
            </w:r>
          </w:p>
        </w:tc>
        <w:tc>
          <w:tcPr>
            <w:tcW w:type="dxa" w:w="2880"/>
          </w:tcPr>
          <w:p>
            <w:r>
              <w:t>经授权将内网应用端口安全暴露供检测</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2026-07-20</w:t>
            </w:r>
          </w:p>
        </w:tc>
        <w:tc>
          <w:tcPr>
            <w:tcW w:type="dxa" w:w="2160"/>
          </w:tcPr>
          <w:p>
            <w:r>
              <w:t>V1.0</w:t>
            </w:r>
          </w:p>
        </w:tc>
        <w:tc>
          <w:tcPr>
            <w:tcW w:type="dxa" w:w="2160"/>
          </w:tcPr>
          <w:p>
            <w:r>
              <w:t>创建应用安全检测报告</w:t>
            </w:r>
          </w:p>
        </w:tc>
        <w:tc>
          <w:tcPr>
            <w:tcW w:type="dxa" w:w="2160"/>
          </w:tcPr>
          <w:p>
            <w:r>
              <w:t>兰浩淼</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丰智云链（SF-SCM）供应链管理平台</w:t>
            </w:r>
          </w:p>
        </w:tc>
        <w:tc>
          <w:tcPr>
            <w:tcW w:type="dxa" w:w="2160"/>
          </w:tcPr>
          <w:p>
            <w:r>
              <w:t>等保二级（待核定）</w:t>
            </w:r>
          </w:p>
        </w:tc>
        <w:tc>
          <w:tcPr>
            <w:tcW w:type="dxa" w:w="2160"/>
          </w:tcPr>
          <w:p>
            <w:r>
              <w:t>http://内网IP:8003/fp/（经授权内网穿透访问，已脱敏）</w:t>
            </w:r>
          </w:p>
        </w:tc>
        <w:tc>
          <w:tcPr>
            <w:tcW w:type="dxa" w:w="2160"/>
          </w:tcPr>
          <w:p>
            <w:r>
              <w:t>内网访问（脱敏）</w:t>
            </w:r>
          </w:p>
        </w:tc>
      </w:tr>
    </w:tbl>
    <w:p>
      <w:pPr>
        <w:pStyle w:val="Heading2"/>
      </w:pPr>
      <w:r>
        <w:t>风险信息</w:t>
      </w:r>
    </w:p>
    <w:p>
      <w:r>
        <w:rPr>
          <w:i w:val="0"/>
        </w:rPr>
        <w:t>本次安全检测共完成 55 项检测内容，共计发现 15 个安全风险，其中高危风险 1 个、中危风险 14 个（判定为“不符合”）。另有“符合” 32 项、“未测试” 6 项、“不涉及” 2 项。</w:t>
      </w:r>
    </w:p>
    <w:p>
      <w:r>
        <w:rPr>
          <w:i w:val="0"/>
        </w:rPr>
        <w:t>“未测试” 6 项系因测试条件受限（如缺少对照账号、生产环境非破坏性约束、经隧道无法验证等）无法完成验证，据实标记并说明原因；“不涉及” 2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3.3.1</w:t>
            </w:r>
          </w:p>
        </w:tc>
        <w:tc>
          <w:tcPr>
            <w:tcW w:type="dxa" w:w="1728"/>
          </w:tcPr>
          <w:p>
            <w:r>
              <w:t>前端JS库软件版本安全测试</w:t>
            </w:r>
          </w:p>
        </w:tc>
        <w:tc>
          <w:tcPr>
            <w:tcW w:type="dxa" w:w="1728"/>
          </w:tcPr>
          <w:p>
            <w:r>
              <w:rPr>
                <w:b/>
                <w:color w:val="BF8F00"/>
              </w:rPr>
              <w:t>中</w:t>
            </w:r>
          </w:p>
        </w:tc>
        <w:tc>
          <w:tcPr>
            <w:tcW w:type="dxa" w:w="1728"/>
          </w:tcPr>
          <w:p>
            <w:r/>
          </w:p>
        </w:tc>
      </w:tr>
      <w:tr>
        <w:tc>
          <w:tcPr>
            <w:tcW w:type="dxa" w:w="1728"/>
          </w:tcPr>
          <w:p>
            <w:r>
              <w:t>2</w:t>
            </w:r>
          </w:p>
        </w:tc>
        <w:tc>
          <w:tcPr>
            <w:tcW w:type="dxa" w:w="1728"/>
          </w:tcPr>
          <w:p>
            <w:r>
              <w:t>3.3.2</w:t>
            </w:r>
          </w:p>
        </w:tc>
        <w:tc>
          <w:tcPr>
            <w:tcW w:type="dxa" w:w="1728"/>
          </w:tcPr>
          <w:p>
            <w:r>
              <w:t>前端JS泄露安全测试</w:t>
            </w:r>
          </w:p>
        </w:tc>
        <w:tc>
          <w:tcPr>
            <w:tcW w:type="dxa" w:w="1728"/>
          </w:tcPr>
          <w:p>
            <w:r>
              <w:rPr>
                <w:b/>
                <w:color w:val="BF8F00"/>
              </w:rPr>
              <w:t>中</w:t>
            </w:r>
          </w:p>
        </w:tc>
        <w:tc>
          <w:tcPr>
            <w:tcW w:type="dxa" w:w="1728"/>
          </w:tcPr>
          <w:p>
            <w:r/>
          </w:p>
        </w:tc>
      </w:tr>
      <w:tr>
        <w:tc>
          <w:tcPr>
            <w:tcW w:type="dxa" w:w="1728"/>
          </w:tcPr>
          <w:p>
            <w:r>
              <w:t>3</w:t>
            </w:r>
          </w:p>
        </w:tc>
        <w:tc>
          <w:tcPr>
            <w:tcW w:type="dxa" w:w="1728"/>
          </w:tcPr>
          <w:p>
            <w:r>
              <w:t>3.4.2</w:t>
            </w:r>
          </w:p>
        </w:tc>
        <w:tc>
          <w:tcPr>
            <w:tcW w:type="dxa" w:w="1728"/>
          </w:tcPr>
          <w:p>
            <w:r>
              <w:t>防重放攻击、防篡改功能安全测试</w:t>
            </w:r>
          </w:p>
        </w:tc>
        <w:tc>
          <w:tcPr>
            <w:tcW w:type="dxa" w:w="1728"/>
          </w:tcPr>
          <w:p>
            <w:r>
              <w:rPr>
                <w:b/>
                <w:color w:val="BF8F00"/>
              </w:rPr>
              <w:t>中</w:t>
            </w:r>
          </w:p>
        </w:tc>
        <w:tc>
          <w:tcPr>
            <w:tcW w:type="dxa" w:w="1728"/>
          </w:tcPr>
          <w:p>
            <w:r/>
          </w:p>
        </w:tc>
      </w:tr>
      <w:tr>
        <w:tc>
          <w:tcPr>
            <w:tcW w:type="dxa" w:w="1728"/>
          </w:tcPr>
          <w:p>
            <w:r>
              <w:t>4</w:t>
            </w:r>
          </w:p>
        </w:tc>
        <w:tc>
          <w:tcPr>
            <w:tcW w:type="dxa" w:w="1728"/>
          </w:tcPr>
          <w:p>
            <w:r>
              <w:t>3.5.3</w:t>
            </w:r>
          </w:p>
        </w:tc>
        <w:tc>
          <w:tcPr>
            <w:tcW w:type="dxa" w:w="1728"/>
          </w:tcPr>
          <w:p>
            <w:r>
              <w:t>双因素验证功能安全测试</w:t>
            </w:r>
          </w:p>
        </w:tc>
        <w:tc>
          <w:tcPr>
            <w:tcW w:type="dxa" w:w="1728"/>
          </w:tcPr>
          <w:p>
            <w:r>
              <w:rPr>
                <w:b/>
                <w:color w:val="BF8F00"/>
              </w:rPr>
              <w:t>中</w:t>
            </w:r>
          </w:p>
        </w:tc>
        <w:tc>
          <w:tcPr>
            <w:tcW w:type="dxa" w:w="1728"/>
          </w:tcPr>
          <w:p>
            <w:r/>
          </w:p>
        </w:tc>
      </w:tr>
      <w:tr>
        <w:tc>
          <w:tcPr>
            <w:tcW w:type="dxa" w:w="1728"/>
          </w:tcPr>
          <w:p>
            <w:r>
              <w:t>5</w:t>
            </w:r>
          </w:p>
        </w:tc>
        <w:tc>
          <w:tcPr>
            <w:tcW w:type="dxa" w:w="1728"/>
          </w:tcPr>
          <w:p>
            <w:r>
              <w:t>3.5.4</w:t>
            </w:r>
          </w:p>
        </w:tc>
        <w:tc>
          <w:tcPr>
            <w:tcW w:type="dxa" w:w="1728"/>
          </w:tcPr>
          <w:p>
            <w:r>
              <w:t>首次登录强制改密安全测试</w:t>
            </w:r>
          </w:p>
        </w:tc>
        <w:tc>
          <w:tcPr>
            <w:tcW w:type="dxa" w:w="1728"/>
          </w:tcPr>
          <w:p>
            <w:r>
              <w:rPr>
                <w:b/>
                <w:color w:val="BF8F00"/>
              </w:rPr>
              <w:t>中</w:t>
            </w:r>
          </w:p>
        </w:tc>
        <w:tc>
          <w:tcPr>
            <w:tcW w:type="dxa" w:w="1728"/>
          </w:tcPr>
          <w:p>
            <w:r/>
          </w:p>
        </w:tc>
      </w:tr>
      <w:tr>
        <w:tc>
          <w:tcPr>
            <w:tcW w:type="dxa" w:w="1728"/>
          </w:tcPr>
          <w:p>
            <w:r>
              <w:t>6</w:t>
            </w:r>
          </w:p>
        </w:tc>
        <w:tc>
          <w:tcPr>
            <w:tcW w:type="dxa" w:w="1728"/>
          </w:tcPr>
          <w:p>
            <w:r>
              <w:t>3.5.9</w:t>
            </w:r>
          </w:p>
        </w:tc>
        <w:tc>
          <w:tcPr>
            <w:tcW w:type="dxa" w:w="1728"/>
          </w:tcPr>
          <w:p>
            <w:r>
              <w:t>长期不登录账号锁定安全测试</w:t>
            </w:r>
          </w:p>
        </w:tc>
        <w:tc>
          <w:tcPr>
            <w:tcW w:type="dxa" w:w="1728"/>
          </w:tcPr>
          <w:p>
            <w:r>
              <w:rPr>
                <w:b/>
                <w:color w:val="BF8F00"/>
              </w:rPr>
              <w:t>中</w:t>
            </w:r>
          </w:p>
        </w:tc>
        <w:tc>
          <w:tcPr>
            <w:tcW w:type="dxa" w:w="1728"/>
          </w:tcPr>
          <w:p>
            <w:r/>
          </w:p>
        </w:tc>
      </w:tr>
      <w:tr>
        <w:tc>
          <w:tcPr>
            <w:tcW w:type="dxa" w:w="1728"/>
          </w:tcPr>
          <w:p>
            <w:r>
              <w:t>7</w:t>
            </w:r>
          </w:p>
        </w:tc>
        <w:tc>
          <w:tcPr>
            <w:tcW w:type="dxa" w:w="1728"/>
          </w:tcPr>
          <w:p>
            <w:r>
              <w:t>3.7.1</w:t>
            </w:r>
          </w:p>
        </w:tc>
        <w:tc>
          <w:tcPr>
            <w:tcW w:type="dxa" w:w="1728"/>
          </w:tcPr>
          <w:p>
            <w:r>
              <w:t>Cookie安全测试</w:t>
            </w:r>
          </w:p>
        </w:tc>
        <w:tc>
          <w:tcPr>
            <w:tcW w:type="dxa" w:w="1728"/>
          </w:tcPr>
          <w:p>
            <w:r>
              <w:rPr>
                <w:b/>
                <w:color w:val="BF8F00"/>
              </w:rPr>
              <w:t>中</w:t>
            </w:r>
          </w:p>
        </w:tc>
        <w:tc>
          <w:tcPr>
            <w:tcW w:type="dxa" w:w="1728"/>
          </w:tcPr>
          <w:p>
            <w:r/>
          </w:p>
        </w:tc>
      </w:tr>
      <w:tr>
        <w:tc>
          <w:tcPr>
            <w:tcW w:type="dxa" w:w="1728"/>
          </w:tcPr>
          <w:p>
            <w:r>
              <w:t>8</w:t>
            </w:r>
          </w:p>
        </w:tc>
        <w:tc>
          <w:tcPr>
            <w:tcW w:type="dxa" w:w="1728"/>
          </w:tcPr>
          <w:p>
            <w:r>
              <w:t>3.7.2</w:t>
            </w:r>
          </w:p>
        </w:tc>
        <w:tc>
          <w:tcPr>
            <w:tcW w:type="dxa" w:w="1728"/>
          </w:tcPr>
          <w:p>
            <w:r>
              <w:t>CORS跨域资源共享安全测试</w:t>
            </w:r>
          </w:p>
        </w:tc>
        <w:tc>
          <w:tcPr>
            <w:tcW w:type="dxa" w:w="1728"/>
          </w:tcPr>
          <w:p>
            <w:r>
              <w:rPr>
                <w:b/>
                <w:color w:val="BF8F00"/>
              </w:rPr>
              <w:t>中</w:t>
            </w:r>
          </w:p>
        </w:tc>
        <w:tc>
          <w:tcPr>
            <w:tcW w:type="dxa" w:w="1728"/>
          </w:tcPr>
          <w:p>
            <w:r/>
          </w:p>
        </w:tc>
      </w:tr>
      <w:tr>
        <w:tc>
          <w:tcPr>
            <w:tcW w:type="dxa" w:w="1728"/>
          </w:tcPr>
          <w:p>
            <w:r>
              <w:t>9</w:t>
            </w:r>
          </w:p>
        </w:tc>
        <w:tc>
          <w:tcPr>
            <w:tcW w:type="dxa" w:w="1728"/>
          </w:tcPr>
          <w:p>
            <w:r>
              <w:t>3.7.4</w:t>
            </w:r>
          </w:p>
        </w:tc>
        <w:tc>
          <w:tcPr>
            <w:tcW w:type="dxa" w:w="1728"/>
          </w:tcPr>
          <w:p>
            <w:r>
              <w:t>会话超时安全测试</w:t>
            </w:r>
          </w:p>
        </w:tc>
        <w:tc>
          <w:tcPr>
            <w:tcW w:type="dxa" w:w="1728"/>
          </w:tcPr>
          <w:p>
            <w:r>
              <w:rPr>
                <w:b/>
                <w:color w:val="BF8F00"/>
              </w:rPr>
              <w:t>中</w:t>
            </w:r>
          </w:p>
        </w:tc>
        <w:tc>
          <w:tcPr>
            <w:tcW w:type="dxa" w:w="1728"/>
          </w:tcPr>
          <w:p>
            <w:r/>
          </w:p>
        </w:tc>
      </w:tr>
      <w:tr>
        <w:tc>
          <w:tcPr>
            <w:tcW w:type="dxa" w:w="1728"/>
          </w:tcPr>
          <w:p>
            <w:r>
              <w:t>10</w:t>
            </w:r>
          </w:p>
        </w:tc>
        <w:tc>
          <w:tcPr>
            <w:tcW w:type="dxa" w:w="1728"/>
          </w:tcPr>
          <w:p>
            <w:r>
              <w:t>3.7.5</w:t>
            </w:r>
          </w:p>
        </w:tc>
        <w:tc>
          <w:tcPr>
            <w:tcW w:type="dxa" w:w="1728"/>
          </w:tcPr>
          <w:p>
            <w:r>
              <w:t>会话标识安全测试</w:t>
            </w:r>
          </w:p>
        </w:tc>
        <w:tc>
          <w:tcPr>
            <w:tcW w:type="dxa" w:w="1728"/>
          </w:tcPr>
          <w:p>
            <w:r>
              <w:rPr>
                <w:b/>
                <w:color w:val="BF8F00"/>
              </w:rPr>
              <w:t>中</w:t>
            </w:r>
          </w:p>
        </w:tc>
        <w:tc>
          <w:tcPr>
            <w:tcW w:type="dxa" w:w="1728"/>
          </w:tcPr>
          <w:p>
            <w:r/>
          </w:p>
        </w:tc>
      </w:tr>
      <w:tr>
        <w:tc>
          <w:tcPr>
            <w:tcW w:type="dxa" w:w="1728"/>
          </w:tcPr>
          <w:p>
            <w:r>
              <w:t>11</w:t>
            </w:r>
          </w:p>
        </w:tc>
        <w:tc>
          <w:tcPr>
            <w:tcW w:type="dxa" w:w="1728"/>
          </w:tcPr>
          <w:p>
            <w:r>
              <w:t>3.8.2</w:t>
            </w:r>
          </w:p>
        </w:tc>
        <w:tc>
          <w:tcPr>
            <w:tcW w:type="dxa" w:w="1728"/>
          </w:tcPr>
          <w:p>
            <w:r>
              <w:t>AK/SK专项安全测试</w:t>
            </w:r>
          </w:p>
        </w:tc>
        <w:tc>
          <w:tcPr>
            <w:tcW w:type="dxa" w:w="1728"/>
          </w:tcPr>
          <w:p>
            <w:r>
              <w:rPr>
                <w:b/>
                <w:color w:val="BF8F00"/>
              </w:rPr>
              <w:t>中</w:t>
            </w:r>
          </w:p>
        </w:tc>
        <w:tc>
          <w:tcPr>
            <w:tcW w:type="dxa" w:w="1728"/>
          </w:tcPr>
          <w:p>
            <w:r/>
          </w:p>
        </w:tc>
      </w:tr>
      <w:tr>
        <w:tc>
          <w:tcPr>
            <w:tcW w:type="dxa" w:w="1728"/>
          </w:tcPr>
          <w:p>
            <w:r>
              <w:t>12</w:t>
            </w:r>
          </w:p>
        </w:tc>
        <w:tc>
          <w:tcPr>
            <w:tcW w:type="dxa" w:w="1728"/>
          </w:tcPr>
          <w:p>
            <w:r>
              <w:t>3.12.1</w:t>
            </w:r>
          </w:p>
        </w:tc>
        <w:tc>
          <w:tcPr>
            <w:tcW w:type="dxa" w:w="1728"/>
          </w:tcPr>
          <w:p>
            <w:r>
              <w:t>加密传输安全测试</w:t>
            </w:r>
          </w:p>
        </w:tc>
        <w:tc>
          <w:tcPr>
            <w:tcW w:type="dxa" w:w="1728"/>
          </w:tcPr>
          <w:p>
            <w:r>
              <w:rPr>
                <w:b/>
                <w:color w:val="E36C09"/>
              </w:rPr>
              <w:t>高</w:t>
            </w:r>
          </w:p>
        </w:tc>
        <w:tc>
          <w:tcPr>
            <w:tcW w:type="dxa" w:w="1728"/>
          </w:tcPr>
          <w:p>
            <w:r/>
          </w:p>
        </w:tc>
      </w:tr>
      <w:tr>
        <w:tc>
          <w:tcPr>
            <w:tcW w:type="dxa" w:w="1728"/>
          </w:tcPr>
          <w:p>
            <w:r>
              <w:t>13</w:t>
            </w:r>
          </w:p>
        </w:tc>
        <w:tc>
          <w:tcPr>
            <w:tcW w:type="dxa" w:w="1728"/>
          </w:tcPr>
          <w:p>
            <w:r>
              <w:t>3.12.2</w:t>
            </w:r>
          </w:p>
        </w:tc>
        <w:tc>
          <w:tcPr>
            <w:tcW w:type="dxa" w:w="1728"/>
          </w:tcPr>
          <w:p>
            <w:r>
              <w:t>数据脱敏展示安全测试</w:t>
            </w:r>
          </w:p>
        </w:tc>
        <w:tc>
          <w:tcPr>
            <w:tcW w:type="dxa" w:w="1728"/>
          </w:tcPr>
          <w:p>
            <w:r>
              <w:rPr>
                <w:b/>
                <w:color w:val="BF8F00"/>
              </w:rPr>
              <w:t>中</w:t>
            </w:r>
          </w:p>
        </w:tc>
        <w:tc>
          <w:tcPr>
            <w:tcW w:type="dxa" w:w="1728"/>
          </w:tcPr>
          <w:p>
            <w:r/>
          </w:p>
        </w:tc>
      </w:tr>
      <w:tr>
        <w:tc>
          <w:tcPr>
            <w:tcW w:type="dxa" w:w="1728"/>
          </w:tcPr>
          <w:p>
            <w:r>
              <w:t>14</w:t>
            </w:r>
          </w:p>
        </w:tc>
        <w:tc>
          <w:tcPr>
            <w:tcW w:type="dxa" w:w="1728"/>
          </w:tcPr>
          <w:p>
            <w:r>
              <w:t>3.13.1</w:t>
            </w:r>
          </w:p>
        </w:tc>
        <w:tc>
          <w:tcPr>
            <w:tcW w:type="dxa" w:w="1728"/>
          </w:tcPr>
          <w:p>
            <w:r>
              <w:t>HTTPS协议安全测试</w:t>
            </w:r>
          </w:p>
        </w:tc>
        <w:tc>
          <w:tcPr>
            <w:tcW w:type="dxa" w:w="1728"/>
          </w:tcPr>
          <w:p>
            <w:r>
              <w:rPr>
                <w:b/>
                <w:color w:val="BF8F00"/>
              </w:rPr>
              <w:t>中</w:t>
            </w:r>
          </w:p>
        </w:tc>
        <w:tc>
          <w:tcPr>
            <w:tcW w:type="dxa" w:w="1728"/>
          </w:tcPr>
          <w:p>
            <w:r/>
          </w:p>
        </w:tc>
      </w:tr>
      <w:tr>
        <w:tc>
          <w:tcPr>
            <w:tcW w:type="dxa" w:w="1728"/>
          </w:tcPr>
          <w:p>
            <w:r>
              <w:t>15</w:t>
            </w:r>
          </w:p>
        </w:tc>
        <w:tc>
          <w:tcPr>
            <w:tcW w:type="dxa" w:w="1728"/>
          </w:tcPr>
          <w:p>
            <w:r>
              <w:t>3.13.16</w:t>
            </w:r>
          </w:p>
        </w:tc>
        <w:tc>
          <w:tcPr>
            <w:tcW w:type="dxa" w:w="1728"/>
          </w:tcPr>
          <w:p>
            <w:r>
              <w:t>敏感信息泄露安全测试</w:t>
            </w:r>
          </w:p>
        </w:tc>
        <w:tc>
          <w:tcPr>
            <w:tcW w:type="dxa" w:w="1728"/>
          </w:tcPr>
          <w:p>
            <w:r>
              <w:rPr>
                <w:b/>
                <w:color w:val="BF8F00"/>
              </w:rPr>
              <w:t>中</w:t>
            </w:r>
          </w:p>
        </w:tc>
        <w:tc>
          <w:tcPr>
            <w:tcW w:type="dxa" w:w="1728"/>
          </w:tcPr>
          <w:p>
            <w:r/>
          </w:p>
        </w:tc>
      </w:tr>
    </w:tbl>
    <w:p>
      <w:r>
        <w:rPr>
          <w:i/>
        </w:rPr>
        <w:t>注：上表仅列出本次判定为“不符合”的 15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经授权内网穿透（cpolar）访问目标应用，实测对外仅提供 HTTP 应用端口（8003）承载业务；对 /actuator、/actuator/env、/swagger-ui.html、/v2-3/api-docs、/druid/index.html 等常见管理端点探测，返回均为 SPA 前端 index.html（Content-Type: text/html，非真实端点），未发现多余管理/监控端口对外暴露。</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经隧道仅能观测应用业务端口，云端无法对内网主机做全端口段扫描，全端口扫描未覆盖。</w:t>
            </w:r>
          </w:p>
        </w:tc>
      </w:tr>
    </w:tbl>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响应头 Server 仅为 openresty，未回显具体版本号；未发现 actuator/swagger/druid 等组件管理台对外可用；未在响应中发现中间件/框架精确版本、构建路径等基线信息泄露。</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后端具体框架/中间件版本无法从对外响应可靠获取。</w:t>
            </w:r>
          </w:p>
        </w:tc>
      </w:tr>
    </w:tbl>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前端生产 bundle（base-sys/main.e526ec63.js）中内嵌 axios 组件的 package 元数据，明确标注 "name":"axios","version":"0.21.4"，即前端使用 axios 0.21.4（2021 年发布的旧版本）。该版本存在已知中危漏洞 CVE-2023-45857（GHSA-wf5p-g6vw-rhxx，影响 axios &lt;1.6.0）：在跨源重定向场景下会将 XSRF-TOKEN 泄露给第三方主机。</w:t>
            </w:r>
          </w:p>
        </w:tc>
      </w:tr>
      <w:tr>
        <w:tc>
          <w:tcPr>
            <w:tcW w:type="dxa" w:w="1872"/>
            <w:shd w:val="clear" w:fill="F2F2F2"/>
          </w:tcPr>
          <w:p>
            <w:r>
              <w:rPr>
                <w:b/>
              </w:rPr>
              <w:t>修复建议</w:t>
            </w:r>
          </w:p>
        </w:tc>
        <w:tc>
          <w:tcPr>
            <w:tcW w:type="dxa" w:w="7488"/>
          </w:tcPr>
          <w:p>
            <w:r>
              <w:t>将 axios 升级至 ≥1.6.0；同步梳理前端第三方依赖清单并纳入 SCA 组件漏洞例行扫描。</w:t>
            </w:r>
          </w:p>
        </w:tc>
      </w:tr>
      <w:tr>
        <w:tc>
          <w:tcPr>
            <w:tcW w:type="dxa" w:w="1872"/>
            <w:shd w:val="clear" w:fill="F2F2F2"/>
          </w:tcPr>
          <w:p>
            <w:r>
              <w:rPr>
                <w:b/>
              </w:rPr>
              <w:t>备注</w:t>
            </w:r>
          </w:p>
        </w:tc>
        <w:tc>
          <w:tcPr>
            <w:tcW w:type="dxa" w:w="7488"/>
          </w:tcPr>
          <w:p>
            <w:r>
              <w:t>版本经 bundle 内 axios package.json 元数据确证；其余库经生产混淆未能可靠取版，未逐一比对。</w:t>
            </w:r>
          </w:p>
        </w:tc>
      </w:tr>
    </w:tbl>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分析前端 env.js 与主 bundle：env.js 明文暴露内部微服务路由前缀（/base-sys/、/fx-sys/ 等）；bundle 内硬编码内部对象存储服务地址（顺丰 OSS 外网/SIT 域名）与高德地图 Web API Key（32 位十六进制，已脱敏）。上述信息可为攻击者刻画内部服务结构、复用第三方配额提供便利。</w:t>
            </w:r>
          </w:p>
        </w:tc>
      </w:tr>
      <w:tr>
        <w:tc>
          <w:tcPr>
            <w:tcW w:type="dxa" w:w="1872"/>
            <w:shd w:val="clear" w:fill="F2F2F2"/>
          </w:tcPr>
          <w:p>
            <w:r>
              <w:rPr>
                <w:b/>
              </w:rPr>
              <w:t>修复建议</w:t>
            </w:r>
          </w:p>
        </w:tc>
        <w:tc>
          <w:tcPr>
            <w:tcW w:type="dxa" w:w="7488"/>
          </w:tcPr>
          <w:p>
            <w:r>
              <w:t>前端仅暴露必要的运行时配置；内部服务地址、第三方 Key 等敏感配置改由后端下发或按域名/来源做访问限制；对第三方地图 Key 配置 Referer/域名白名单与配额告警。</w:t>
            </w:r>
          </w:p>
        </w:tc>
      </w:tr>
      <w:tr>
        <w:tc>
          <w:tcPr>
            <w:tcW w:type="dxa" w:w="1872"/>
            <w:shd w:val="clear" w:fill="F2F2F2"/>
          </w:tcPr>
          <w:p>
            <w:r>
              <w:rPr>
                <w:b/>
              </w:rPr>
              <w:t>备注</w:t>
            </w:r>
          </w:p>
        </w:tc>
        <w:tc>
          <w:tcPr>
            <w:tcW w:type="dxa" w:w="7488"/>
          </w:tcPr>
          <w:p>
            <w:r>
              <w:t>未发现前端硬编码账号口令或私钥。</w:t>
            </w:r>
          </w:p>
        </w:tc>
      </w:tr>
    </w:tbl>
    <w:p>
      <w:pPr>
        <w:jc w:val="center"/>
      </w:pPr>
      <w:r>
        <w:drawing>
          <wp:inline xmlns:a="http://schemas.openxmlformats.org/drawingml/2006/main" xmlns:pic="http://schemas.openxmlformats.org/drawingml/2006/picture">
            <wp:extent cx="4937760" cy="2777490"/>
            <wp:docPr id="1" name="Picture 1"/>
            <wp:cNvGraphicFramePr>
              <a:graphicFrameLocks noChangeAspect="1"/>
            </wp:cNvGraphicFramePr>
            <a:graphic>
              <a:graphicData uri="http://schemas.openxmlformats.org/drawingml/2006/picture">
                <pic:pic>
                  <pic:nvPicPr>
                    <pic:cNvPr id="0" name="fig_login.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图：应用前端登录页（HTTP 明文，浏览器提示 Not secure）</w:t>
      </w:r>
    </w:p>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对外响应头 Server 仅为 openresty，未携带精确版本；页面与接口响应未见框架/中间件精确版本信息泄露。</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抓取真实业务接口请求（如 GET /api/user-center/users/getUser）观察：请求未携带时间戳、随机数(nonce)或请求签名等防重放/防篡改参数；会话令牌为长期有效的 opaque UUID，可被重复提交而不失效。登录环节虽含一次性行为验证码参数，但业务接口整体缺乏防重放与完整性保护。</w:t>
            </w:r>
          </w:p>
        </w:tc>
      </w:tr>
      <w:tr>
        <w:tc>
          <w:tcPr>
            <w:tcW w:type="dxa" w:w="1872"/>
            <w:shd w:val="clear" w:fill="F2F2F2"/>
          </w:tcPr>
          <w:p>
            <w:r>
              <w:rPr>
                <w:b/>
              </w:rPr>
              <w:t>修复建议</w:t>
            </w:r>
          </w:p>
        </w:tc>
        <w:tc>
          <w:tcPr>
            <w:tcW w:type="dxa" w:w="7488"/>
          </w:tcPr>
          <w:p>
            <w:r>
              <w:t>对关键业务接口引入时间戳 + nonce + 服务端校验的请求签名机制，或对敏感操作使用一次性 token；缩短令牌有效期。</w:t>
            </w:r>
          </w:p>
        </w:tc>
      </w:tr>
      <w:tr>
        <w:tc>
          <w:tcPr>
            <w:tcW w:type="dxa" w:w="1872"/>
            <w:shd w:val="clear" w:fill="F2F2F2"/>
          </w:tcPr>
          <w:p>
            <w:r>
              <w:rPr>
                <w:b/>
              </w:rPr>
              <w:t>备注</w:t>
            </w:r>
          </w:p>
        </w:tc>
        <w:tc>
          <w:tcPr>
            <w:tcW w:type="dxa" w:w="7488"/>
          </w:tcPr>
          <w:p>
            <w:r/>
          </w:p>
        </w:tc>
      </w:tr>
    </w:tbl>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登录页启用行为式滑块验证码（极验类，请求含 captcha_id / lot_number / pass_token / captcha_output 等参数），由服务端校验通过后方可提交登录，具备人机识别能力。</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系统不开放自助注册，账号由管理员在“账户管理”中创建；改密/找回流程需短信验证码（观测到 /login/sendModifyPasswordVc、/login/modifyPassword、checkModifyPasswordVc 等接口），流程受控。</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改密/找回全链路未逐一破坏性验证。</w:t>
            </w:r>
          </w:p>
        </w:tc>
      </w:tr>
    </w:tbl>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系统提供“短信登录”与短信验证码能力（/login/sendLoginVerificationCode），但以租户管理员账号进行“密码登录”时，仅需口令 + 图形行为验证码即可完成认证，未强制第二因素（短信/邮件）。图形验证码不构成独立的第二认证因素。</w:t>
            </w:r>
          </w:p>
        </w:tc>
      </w:tr>
      <w:tr>
        <w:tc>
          <w:tcPr>
            <w:tcW w:type="dxa" w:w="1872"/>
            <w:shd w:val="clear" w:fill="F2F2F2"/>
          </w:tcPr>
          <w:p>
            <w:r>
              <w:rPr>
                <w:b/>
              </w:rPr>
              <w:t>修复建议</w:t>
            </w:r>
          </w:p>
        </w:tc>
        <w:tc>
          <w:tcPr>
            <w:tcW w:type="dxa" w:w="7488"/>
          </w:tcPr>
          <w:p>
            <w:r>
              <w:t>对管理员等高权限账号强制启用双因素认证（登录口令 + 短信/邮件/OTP）。</w:t>
            </w:r>
          </w:p>
        </w:tc>
      </w:tr>
      <w:tr>
        <w:tc>
          <w:tcPr>
            <w:tcW w:type="dxa" w:w="1872"/>
            <w:shd w:val="clear" w:fill="F2F2F2"/>
          </w:tcPr>
          <w:p>
            <w:r>
              <w:rPr>
                <w:b/>
              </w:rPr>
              <w:t>备注</w:t>
            </w:r>
          </w:p>
        </w:tc>
        <w:tc>
          <w:tcPr>
            <w:tcW w:type="dxa" w:w="7488"/>
          </w:tcPr>
          <w:p>
            <w:r/>
          </w:p>
        </w:tc>
      </w:tr>
    </w:tbl>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“安全策略-操作策略”配置了固定且可预测的初始口令（形如 Fyp@2026***，已脱敏），新建账号统一使用该初始口令；登录后用户信息 needModifyPassword 字段为空，未观察到强制首次改密约束，存在初始口令被猜测/横向复用风险。</w:t>
            </w:r>
          </w:p>
        </w:tc>
      </w:tr>
      <w:tr>
        <w:tc>
          <w:tcPr>
            <w:tcW w:type="dxa" w:w="1872"/>
            <w:shd w:val="clear" w:fill="F2F2F2"/>
          </w:tcPr>
          <w:p>
            <w:r>
              <w:rPr>
                <w:b/>
              </w:rPr>
              <w:t>修复建议</w:t>
            </w:r>
          </w:p>
        </w:tc>
        <w:tc>
          <w:tcPr>
            <w:tcW w:type="dxa" w:w="7488"/>
          </w:tcPr>
          <w:p>
            <w:r>
              <w:t>取消固定初始口令，改为一次性随机口令并通过安全渠道下发；强制用户首次登录必须修改口令后方可使用系统。</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2" name="Picture 2"/>
            <wp:cNvGraphicFramePr>
              <a:graphicFrameLocks noChangeAspect="1"/>
            </wp:cNvGraphicFramePr>
            <a:graphic>
              <a:graphicData uri="http://schemas.openxmlformats.org/drawingml/2006/picture">
                <pic:pic>
                  <pic:nvPicPr>
                    <pic:cNvPr id="0" name="fig_lockout.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图：安全策略-操作策略（初始口令已脱敏，失败锁定 5 次/解锁 15 分钟）</w:t>
      </w:r>
    </w:p>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以错误口令登录时，系统返回统一模糊提示“用户名或密码错误”，未区分“账号不存在/口令错误”，可降低账号枚举风险；并配合失败锁定策略（见 AUTH-006）。</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“安全策略-操作策略”已启用登录失败锁定：连续错误次数上限 5 次，锁定解锁时间 15 分钟，可有效抑制在线口令爆破。</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3" name="Picture 3"/>
            <wp:cNvGraphicFramePr>
              <a:graphicFrameLocks noChangeAspect="1"/>
            </wp:cNvGraphicFramePr>
            <a:graphic>
              <a:graphicData uri="http://schemas.openxmlformats.org/drawingml/2006/picture">
                <pic:pic>
                  <pic:nvPicPr>
                    <pic:cNvPr id="0" name="fig_lockout.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图：登录失败锁定策略（5 次 / 15 分钟）</w:t>
      </w:r>
    </w:p>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登录页口令输入框默认以掩码（type=password）显示，提供“眼睛”图标由用户主动切换明/暗文，默认不明文展示。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4" name="Picture 4"/>
            <wp:cNvGraphicFramePr>
              <a:graphicFrameLocks noChangeAspect="1"/>
            </wp:cNvGraphicFramePr>
            <a:graphic>
              <a:graphicData uri="http://schemas.openxmlformats.org/drawingml/2006/picture">
                <pic:pic>
                  <pic:nvPicPr>
                    <pic:cNvPr id="0" name="fig_login.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图：登录页口令默认掩码显示</w:t>
      </w:r>
    </w:p>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“安全策略-口令策略”已启用强口令要求：最小长度 10、需包含数字与字母、口令更新周期 90 天、历史口令不可重复 5 次、到期提醒 7 天。</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口令字符类型未强制“特殊字符”，为可优化点。</w:t>
            </w:r>
          </w:p>
        </w:tc>
      </w:tr>
    </w:tbl>
    <w:p>
      <w:pPr>
        <w:jc w:val="center"/>
      </w:pPr>
      <w:r>
        <w:drawing>
          <wp:inline xmlns:a="http://schemas.openxmlformats.org/drawingml/2006/main" xmlns:pic="http://schemas.openxmlformats.org/drawingml/2006/picture">
            <wp:extent cx="4937760" cy="2777490"/>
            <wp:docPr id="5" name="Picture 5"/>
            <wp:cNvGraphicFramePr>
              <a:graphicFrameLocks noChangeAspect="1"/>
            </wp:cNvGraphicFramePr>
            <a:graphic>
              <a:graphicData uri="http://schemas.openxmlformats.org/drawingml/2006/picture">
                <pic:pic>
                  <pic:nvPicPr>
                    <pic:cNvPr id="0" name="fig_pwd_policy.png"/>
                    <pic:cNvPicPr/>
                  </pic:nvPicPr>
                  <pic:blipFill>
                    <a:blip r:embed="rId11"/>
                    <a:stretch>
                      <a:fillRect/>
                    </a:stretch>
                  </pic:blipFill>
                  <pic:spPr>
                    <a:xfrm>
                      <a:off x="0" y="0"/>
                      <a:ext cx="4937760" cy="2777490"/>
                    </a:xfrm>
                    <a:prstGeom prst="rect"/>
                  </pic:spPr>
                </pic:pic>
              </a:graphicData>
            </a:graphic>
          </wp:inline>
        </w:drawing>
      </w:r>
    </w:p>
    <w:p>
      <w:pPr>
        <w:jc w:val="center"/>
      </w:pPr>
      <w:r>
        <w:rPr>
          <w:i/>
          <w:sz w:val="18"/>
        </w:rPr>
        <w:t>图：安全策略-口令策略（最小长度 10 / 90 天更新 / 历史 5 次）</w:t>
      </w:r>
    </w:p>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逐页检查“安全策略”各配置页，仅见登录失败锁定、口令更新周期等策略，未见“长期未登录自动锁定/停用”机制或配置项；账户模型虽含 expireDate（固定失效时间）与 loginCount 字段，但无基于不活跃天数的自动停用策略，久未登录的僵尸账号可长期保持可用。</w:t>
            </w:r>
          </w:p>
        </w:tc>
      </w:tr>
      <w:tr>
        <w:tc>
          <w:tcPr>
            <w:tcW w:type="dxa" w:w="1872"/>
            <w:shd w:val="clear" w:fill="F2F2F2"/>
          </w:tcPr>
          <w:p>
            <w:r>
              <w:rPr>
                <w:b/>
              </w:rPr>
              <w:t>修复建议</w:t>
            </w:r>
          </w:p>
        </w:tc>
        <w:tc>
          <w:tcPr>
            <w:tcW w:type="dxa" w:w="7488"/>
          </w:tcPr>
          <w:p>
            <w:r>
              <w:t>增加长期未登录（如 90 天）自动停用/锁定策略，并对休眠账号定期清理或二次确认。</w:t>
            </w:r>
          </w:p>
        </w:tc>
      </w:tr>
      <w:tr>
        <w:tc>
          <w:tcPr>
            <w:tcW w:type="dxa" w:w="1872"/>
            <w:shd w:val="clear" w:fill="F2F2F2"/>
          </w:tcPr>
          <w:p>
            <w:r>
              <w:rPr>
                <w:b/>
              </w:rPr>
              <w:t>备注</w:t>
            </w:r>
          </w:p>
        </w:tc>
        <w:tc>
          <w:tcPr>
            <w:tcW w:type="dxa" w:w="7488"/>
          </w:tcPr>
          <w:p>
            <w:r>
              <w:t>基于被测角色可见的全部安全策略页与账户字段判定；若平台层另有隐式机制，需平台超管复核。</w:t>
            </w:r>
          </w:p>
        </w:tc>
      </w:tr>
    </w:tbl>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登录后用户信息含唯一用户标识（id、userName、userCode/手机号）与明确角色标识（roleCode：TENANT_ADMIN / SUPER_ADMIN），“角色管理”模块对角色进行统一定义，用户与角色标识清晰。</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6" name="Picture 6"/>
            <wp:cNvGraphicFramePr>
              <a:graphicFrameLocks noChangeAspect="1"/>
            </wp:cNvGraphicFramePr>
            <a:graphic>
              <a:graphicData uri="http://schemas.openxmlformats.org/drawingml/2006/picture">
                <pic:pic>
                  <pic:nvPicPr>
                    <pic:cNvPr id="0" name="fig_account.png"/>
                    <pic:cNvPicPr/>
                  </pic:nvPicPr>
                  <pic:blipFill>
                    <a:blip r:embed="rId12"/>
                    <a:stretch>
                      <a:fillRect/>
                    </a:stretch>
                  </pic:blipFill>
                  <pic:spPr>
                    <a:xfrm>
                      <a:off x="0" y="0"/>
                      <a:ext cx="4937760" cy="2777490"/>
                    </a:xfrm>
                    <a:prstGeom prst="rect"/>
                  </pic:spPr>
                </pic:pic>
              </a:graphicData>
            </a:graphic>
          </wp:inline>
        </w:drawing>
      </w:r>
    </w:p>
    <w:p>
      <w:pPr>
        <w:jc w:val="center"/>
      </w:pPr>
      <w:r>
        <w:rPr>
          <w:i/>
          <w:sz w:val="18"/>
        </w:rPr>
        <w:t>图：账户管理-用户与角色标识（SUPER_ADMIN / TENANT_ADMIN）</w:t>
      </w:r>
    </w:p>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系统实现基于角色的访问控制：登录后按角色下发资源/菜单（观测到 /entRoleEntity/getUserResource、getUserResourceModule），不同角色可见的 OMS/BMS/TMS/SYSTEM 菜单与功能不同，具备权限控制能力。</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7" name="Picture 7"/>
            <wp:cNvGraphicFramePr>
              <a:graphicFrameLocks noChangeAspect="1"/>
            </wp:cNvGraphicFramePr>
            <a:graphic>
              <a:graphicData uri="http://schemas.openxmlformats.org/drawingml/2006/picture">
                <pic:pic>
                  <pic:nvPicPr>
                    <pic:cNvPr id="0" name="fig_dashboard.png"/>
                    <pic:cNvPicPr/>
                  </pic:nvPicPr>
                  <pic:blipFill>
                    <a:blip r:embed="rId13"/>
                    <a:stretch>
                      <a:fillRect/>
                    </a:stretch>
                  </pic:blipFill>
                  <pic:spPr>
                    <a:xfrm>
                      <a:off x="0" y="0"/>
                      <a:ext cx="4937760" cy="2777490"/>
                    </a:xfrm>
                    <a:prstGeom prst="rect"/>
                  </pic:spPr>
                </pic:pic>
              </a:graphicData>
            </a:graphic>
          </wp:inline>
        </w:drawing>
      </w:r>
    </w:p>
    <w:p>
      <w:pPr>
        <w:jc w:val="center"/>
      </w:pPr>
      <w:r>
        <w:rPr>
          <w:i/>
          <w:sz w:val="18"/>
        </w:rPr>
        <w:t>图：真实登录后按角色加载的业务控制台</w:t>
      </w:r>
    </w:p>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低影响主动验证多个维度均未发现越权：①对账户分页接口 POST /api/user-center/account/pageAccount 注入客户端 tenantCode（00000000、%），服务端一律忽略客户端 tenantCode、仅按令牌所属租户返回本租户账号，横向跨租户越权未奏效（租户隔离有效）；②未授权访问受保护接口返回 401（见 VULN-015）；③按角色下发菜单/资源（见 PER-001）。残留提示：仅有单一账号，无法对逐业务对象 id 做完整水平越权对照；且观测到租户管理员对同租户 SUPER_ADMIN 账号存在“重置密码”入口（潜在纵向越权设计风险，遵循最小影响未实际执行）。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抽样与租户隔离验证通过判定为符合；完整水平越权对照需第二个（普通用户/其它租户）账号，重置密码设计风险建议业务方复核。</w:t>
            </w:r>
          </w:p>
        </w:tc>
      </w:tr>
    </w:tbl>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系统未使用带安全属性的 Cookie 承载会话，认证令牌改存于浏览器 localStorage（键 token、JSESSIONID、__user_info_cache__.accessToken 等），不具备 HttpOnly / Secure / SameSite 等 Cookie 安全防护，令牌可被同源 JavaScript 读取。</w:t>
            </w:r>
          </w:p>
        </w:tc>
      </w:tr>
      <w:tr>
        <w:tc>
          <w:tcPr>
            <w:tcW w:type="dxa" w:w="1872"/>
            <w:shd w:val="clear" w:fill="F2F2F2"/>
          </w:tcPr>
          <w:p>
            <w:r>
              <w:rPr>
                <w:b/>
              </w:rPr>
              <w:t>修复建议</w:t>
            </w:r>
          </w:p>
        </w:tc>
        <w:tc>
          <w:tcPr>
            <w:tcW w:type="dxa" w:w="7488"/>
          </w:tcPr>
          <w:p>
            <w:r>
              <w:t>会话凭证优先采用 HttpOnly + Secure + SameSite 的 Cookie 承载；如确需前端持有令牌，应缩短有效期并配合严格的 XSS 防护与 CSP。</w:t>
            </w:r>
          </w:p>
        </w:tc>
      </w:tr>
      <w:tr>
        <w:tc>
          <w:tcPr>
            <w:tcW w:type="dxa" w:w="1872"/>
            <w:shd w:val="clear" w:fill="F2F2F2"/>
          </w:tcPr>
          <w:p>
            <w:r>
              <w:rPr>
                <w:b/>
              </w:rPr>
              <w:t>备注</w:t>
            </w:r>
          </w:p>
        </w:tc>
        <w:tc>
          <w:tcPr>
            <w:tcW w:type="dxa" w:w="7488"/>
          </w:tcPr>
          <w:p>
            <w:r/>
          </w:p>
        </w:tc>
      </w:tr>
    </w:tbl>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实测接口跨域策略存在配置缺陷：对任意来源（测试 Origin: https://evil.example.com）响应均回显 Access-Control-Allow-Origin 为该来源，且同时返回 Access-Control-Allow-Credentials: true；预检 OPTIONS 亦放行。若结合 Cookie 会话将可被恶意站点携带凭证跨域读取数据。</w:t>
            </w:r>
          </w:p>
        </w:tc>
      </w:tr>
      <w:tr>
        <w:tc>
          <w:tcPr>
            <w:tcW w:type="dxa" w:w="1872"/>
            <w:shd w:val="clear" w:fill="F2F2F2"/>
          </w:tcPr>
          <w:p>
            <w:r>
              <w:rPr>
                <w:b/>
              </w:rPr>
              <w:t>修复建议</w:t>
            </w:r>
          </w:p>
        </w:tc>
        <w:tc>
          <w:tcPr>
            <w:tcW w:type="dxa" w:w="7488"/>
          </w:tcPr>
          <w:p>
            <w:r>
              <w:t>取消对任意 Origin 的回显，改为服务端可信来源白名单精确匹配；Allow-Credentials 仅对白名单来源开启，避免与通配/回显来源组合。</w:t>
            </w:r>
          </w:p>
        </w:tc>
      </w:tr>
      <w:tr>
        <w:tc>
          <w:tcPr>
            <w:tcW w:type="dxa" w:w="1872"/>
            <w:shd w:val="clear" w:fill="F2F2F2"/>
          </w:tcPr>
          <w:p>
            <w:r>
              <w:rPr>
                <w:b/>
              </w:rPr>
              <w:t>备注</w:t>
            </w:r>
          </w:p>
        </w:tc>
        <w:tc>
          <w:tcPr>
            <w:tcW w:type="dxa" w:w="7488"/>
          </w:tcPr>
          <w:p>
            <w:r>
              <w:t>当前认证令牌经 Authorization 头传递（非 Cookie 自动携带），实际可利用性有所降低，但配置本身不合规。</w:t>
            </w:r>
          </w:p>
        </w:tc>
      </w:tr>
    </w:tbl>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系统提供登出功能（右上角账号菜单“退出”，对应 /sys/logout、/buac/logout 等接口），用户可主动结束会话。</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服务端令牌登出后是否即时失效未做进一步破坏性验证。</w:t>
            </w:r>
          </w:p>
        </w:tc>
      </w:tr>
    </w:tbl>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会话令牌为 opaque UUID 且长期存于浏览器 localStorage（非短时会话 Cookie）；实测在数小时的检测窗口内（含多次间隔空闲），同一登录态令牌持续可用、未被强制重新认证；且“安全策略”各页未见会话空闲超时/最大存活时长配置项，缺少有效的会话超时控制。</w:t>
            </w:r>
          </w:p>
        </w:tc>
      </w:tr>
      <w:tr>
        <w:tc>
          <w:tcPr>
            <w:tcW w:type="dxa" w:w="1872"/>
            <w:shd w:val="clear" w:fill="F2F2F2"/>
          </w:tcPr>
          <w:p>
            <w:r>
              <w:rPr>
                <w:b/>
              </w:rPr>
              <w:t>修复建议</w:t>
            </w:r>
          </w:p>
        </w:tc>
        <w:tc>
          <w:tcPr>
            <w:tcW w:type="dxa" w:w="7488"/>
          </w:tcPr>
          <w:p>
            <w:r>
              <w:t>设置合理的会话空闲超时（如 15~30 分钟）与最大存活时长，超时后服务端主动失效令牌；避免令牌长期驻留 localStorage。</w:t>
            </w:r>
          </w:p>
        </w:tc>
      </w:tr>
      <w:tr>
        <w:tc>
          <w:tcPr>
            <w:tcW w:type="dxa" w:w="1872"/>
            <w:shd w:val="clear" w:fill="F2F2F2"/>
          </w:tcPr>
          <w:p>
            <w:r>
              <w:rPr>
                <w:b/>
              </w:rPr>
              <w:t>备注</w:t>
            </w:r>
          </w:p>
        </w:tc>
        <w:tc>
          <w:tcPr>
            <w:tcW w:type="dxa" w:w="7488"/>
          </w:tcPr>
          <w:p>
            <w:r>
              <w:t>未做单独的长时间完全空闲后重放专项验证；结论基于缺空闲超时配置 + localStorage 长期存储与持续可用观测。</w:t>
            </w:r>
          </w:p>
        </w:tc>
      </w:tr>
    </w:tbl>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会话令牌为可重用的 opaque UUID，且存在两类暴露：其一，令牌明文存于 localStorage，前端 JS 可读；其二，实测存在将 access_token 作为 URL 查询参数传递的接口（GET /api/user-center/users/getUser?access_token=...），易经服务器/代理访问日志、浏览器历史、Referer 泄露。</w:t>
            </w:r>
          </w:p>
        </w:tc>
      </w:tr>
      <w:tr>
        <w:tc>
          <w:tcPr>
            <w:tcW w:type="dxa" w:w="1872"/>
            <w:shd w:val="clear" w:fill="F2F2F2"/>
          </w:tcPr>
          <w:p>
            <w:r>
              <w:rPr>
                <w:b/>
              </w:rPr>
              <w:t>修复建议</w:t>
            </w:r>
          </w:p>
        </w:tc>
        <w:tc>
          <w:tcPr>
            <w:tcW w:type="dxa" w:w="7488"/>
          </w:tcPr>
          <w:p>
            <w:r>
              <w:t>令牌统一置于请求头（Authorization/自定义头），严禁经 URL 查询串传递；缩短令牌有效期并支持服务端主动吊销。</w:t>
            </w:r>
          </w:p>
        </w:tc>
      </w:tr>
      <w:tr>
        <w:tc>
          <w:tcPr>
            <w:tcW w:type="dxa" w:w="1872"/>
            <w:shd w:val="clear" w:fill="F2F2F2"/>
          </w:tcPr>
          <w:p>
            <w:r>
              <w:rPr>
                <w:b/>
              </w:rPr>
              <w:t>备注</w:t>
            </w:r>
          </w:p>
        </w:tc>
        <w:tc>
          <w:tcPr>
            <w:tcW w:type="dxa" w:w="7488"/>
          </w:tcPr>
          <w:p>
            <w:r/>
          </w:p>
        </w:tc>
      </w:tr>
    </w:tbl>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登录成功后由服务端经 /api/user-center/oauth/token 新签发访问令牌，未沿用登录前的会话标识，未观察到会话固定迹象。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未逐一比对登录前后全部会话标识，基于令牌颁发机制判定。</w:t>
            </w:r>
          </w:p>
        </w:tc>
      </w:tr>
    </w:tbl>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对前端 env.js 与主 bundle 进行敏感密钥检索，未发现硬编码的 RSA/私钥、对称加密密钥或 -----BEGIN ... KEY----- 等密钥材料。</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前端主 bundle 中硬编码高德地图 Web API Key（32 位十六进制，已脱敏，形如 833ba8ac…），随前端资源对任意访问者可见，可被他人提取并盗用第三方地图配额或用于伪造请求。</w:t>
            </w:r>
          </w:p>
        </w:tc>
      </w:tr>
      <w:tr>
        <w:tc>
          <w:tcPr>
            <w:tcW w:type="dxa" w:w="1872"/>
            <w:shd w:val="clear" w:fill="F2F2F2"/>
          </w:tcPr>
          <w:p>
            <w:r>
              <w:rPr>
                <w:b/>
              </w:rPr>
              <w:t>修复建议</w:t>
            </w:r>
          </w:p>
        </w:tc>
        <w:tc>
          <w:tcPr>
            <w:tcW w:type="dxa" w:w="7488"/>
          </w:tcPr>
          <w:p>
            <w:r>
              <w:t>第三方 AK/Key 不应硬编码于前端；改由后端代理调用或对 Key 配置 Referer/域名白名单与配额、来源限制，并轮换现有 Key。</w:t>
            </w:r>
          </w:p>
        </w:tc>
      </w:tr>
      <w:tr>
        <w:tc>
          <w:tcPr>
            <w:tcW w:type="dxa" w:w="1872"/>
            <w:shd w:val="clear" w:fill="F2F2F2"/>
          </w:tcPr>
          <w:p>
            <w:r>
              <w:rPr>
                <w:b/>
              </w:rPr>
              <w:t>备注</w:t>
            </w:r>
          </w:p>
        </w:tc>
        <w:tc>
          <w:tcPr>
            <w:tcW w:type="dxa" w:w="7488"/>
          </w:tcPr>
          <w:p>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对不存在静态路径返回 openresty 标准 404；对不存在 API 路径网关返回 Spring Boot 默认错误 JSON（含 timestamp/path/error/requestId），仅暴露框架类型与请求标识，未回显异常堆栈、SQL 语句或内部绝对路径等高敏信息；未认证访问受保护接口返回 401。</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API 网关默认错误页暴露框架为轻微信息泄露（可优化）；未做深度错误注入。</w:t>
            </w:r>
          </w:p>
        </w:tc>
      </w:tr>
    </w:tbl>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已做低影响主动尝试：向导入接口 /api/ent-base/item/upload 提交伪装为 .jsp/.html 的良性文本文件（仅含测试标记、无可执行载荷），服务端返回统一异常未成功处理，未实现木马落地；因导入接口要求特定 Excel 模板格式，扩展名白名单/内容校验未能被充分穿透验证。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未成功上传任何文件（无持久化）；受导入格式限制，恶意文件上传路径未被充分验证，据实标未测试。</w:t>
            </w:r>
          </w:p>
        </w:tc>
      </w:tr>
    </w:tbl>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对文件下载接口 POST /api/ent-base/print/downloadFromOSS 注入路径遍历载荷（id=../../../../../../etc/passwd、ossUrl=..%2f..%2f..%2fetc%2fpasswd），服务端均返回统一异常、未回读任意文件，未发现路径遍历/任意文件下载迹象。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抽样验证，未穷举全部下载接口的越权授权矩阵。</w:t>
            </w:r>
          </w:p>
        </w:tc>
      </w:tr>
    </w:tbl>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多线程竞争条件需对具体业务提交接口做并发压力/时序验证，属较高影响操作，本次生产环境未开展。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非破坏性约束，据实标未测试。</w:t>
            </w:r>
          </w:p>
        </w:tc>
      </w:tr>
    </w:tbl>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已对查询接口做低影响类型/边界验证：pageAccount 的 currentPage=-1/pageSize=-5 被服务端安全钳制、pageSize="abc" 返回统一异常，但 pageSize=999999 未做上限限制被原样接受（存在大批量数据拉取/资源消耗的轻微风险）。业务写接口的金额/数量/userid/供应商 id 等异常值篡改属较高影响操作，且本租户业务数据为空，未开展。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查询参数类型校验基本正常（pageSize 缺上限为可优化点）；业务写参数篡改因非破坏性约束未测试。</w:t>
            </w:r>
          </w:p>
        </w:tc>
      </w:tr>
    </w:tbl>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业务流程非预期执行需围绕完整业务链路做跳步/越阶提交验证，本次未在生产环境开展破坏性流程测试。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非破坏性约束，据实标未测试。</w:t>
            </w:r>
          </w:p>
        </w:tc>
      </w:tr>
    </w:tbl>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被测租户管理员角色 UI 中仅见“页面访问报表”（UV/PV 前端访问量统计，见图），无安全操作审计模块入口。经接口层验证，平台存在操作日志查询接口（POST /api/ent-base/sys-operation-log/v1/queryByRelationCode，当前角色可调用、对测试 relationCode 返回空集），说明平台层具备操作日志能力，但其对登录/改密/导出/权限变更等安全事件的覆盖范围与内容无法从被测账号确认。</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基础审计能力存在（操作日志接口 + 账户 loginCount/loginIp 字段）；完整安全事件覆盖与审计查询 UI 需平台超管确认（见 AUD-002/003）。</w:t>
            </w:r>
          </w:p>
        </w:tc>
      </w:tr>
    </w:tbl>
    <w:p>
      <w:pPr>
        <w:jc w:val="center"/>
      </w:pPr>
      <w:r>
        <w:drawing>
          <wp:inline xmlns:a="http://schemas.openxmlformats.org/drawingml/2006/main" xmlns:pic="http://schemas.openxmlformats.org/drawingml/2006/picture">
            <wp:extent cx="4937760" cy="2777490"/>
            <wp:docPr id="8" name="Picture 8"/>
            <wp:cNvGraphicFramePr>
              <a:graphicFrameLocks noChangeAspect="1"/>
            </wp:cNvGraphicFramePr>
            <a:graphic>
              <a:graphicData uri="http://schemas.openxmlformats.org/drawingml/2006/picture">
                <pic:pic>
                  <pic:nvPicPr>
                    <pic:cNvPr id="0" name="fig_track.png"/>
                    <pic:cNvPicPr/>
                  </pic:nvPicPr>
                  <pic:blipFill>
                    <a:blip r:embed="rId14"/>
                    <a:stretch>
                      <a:fillRect/>
                    </a:stretch>
                  </pic:blipFill>
                  <pic:spPr>
                    <a:xfrm>
                      <a:off x="0" y="0"/>
                      <a:ext cx="4937760" cy="2777490"/>
                    </a:xfrm>
                    <a:prstGeom prst="rect"/>
                  </pic:spPr>
                </pic:pic>
              </a:graphicData>
            </a:graphic>
          </wp:inline>
        </w:drawing>
      </w:r>
    </w:p>
    <w:p>
      <w:pPr>
        <w:jc w:val="center"/>
      </w:pPr>
      <w:r>
        <w:rPr>
          <w:i/>
          <w:sz w:val="18"/>
        </w:rPr>
        <w:t>图：系统提供页面访问量统计（UV/PV）；平台另具操作日志接口</w:t>
      </w:r>
    </w:p>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因被测角色未见安全审计日志功能，无法查看审计记录是否包含时间、来源 IP、操作账号、操作对象、结果等要素。</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据实标未测试。</w:t>
            </w:r>
          </w:p>
        </w:tc>
      </w:tr>
    </w:tbl>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无法从被测账号确认审计日志的存储方式、留存周期与防篡改/防删除措施。</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据实标未测试。</w:t>
            </w:r>
          </w:p>
        </w:tc>
      </w:tr>
    </w:tbl>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E36C09"/>
              </w:rPr>
              <w:t>高</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目标应用全站以 HTTP 明文对外提供服务（用户浏览器实际以 http://内网IP:8003 访问，浏览器提示 Not secure，非隧道所致）。实测登录请求 POST /api/user-center/oauth/token 的请求体以明文（URL 编码）提交账号与口令字段（口令值已脱敏），会话令牌亦经明文信道传输，可被链路中间人嗅探/窃取。</w:t>
            </w:r>
          </w:p>
        </w:tc>
      </w:tr>
      <w:tr>
        <w:tc>
          <w:tcPr>
            <w:tcW w:type="dxa" w:w="1872"/>
            <w:shd w:val="clear" w:fill="F2F2F2"/>
          </w:tcPr>
          <w:p>
            <w:r>
              <w:rPr>
                <w:b/>
              </w:rPr>
              <w:t>修复建议</w:t>
            </w:r>
          </w:p>
        </w:tc>
        <w:tc>
          <w:tcPr>
            <w:tcW w:type="dxa" w:w="7488"/>
          </w:tcPr>
          <w:p>
            <w:r>
              <w:t>全站启用 HTTPS 并强制 HTTP 跳转 HTTPS、开启 HSTS；口令在传输前结合 TLS 保护，敏感字段可叠加应用层加密。</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fig_login.png"/>
                    <pic:cNvPicPr/>
                  </pic:nvPicPr>
                  <pic:blipFill>
                    <a:blip r:embed="rId9"/>
                    <a:stretch>
                      <a:fillRect/>
                    </a:stretch>
                  </pic:blipFill>
                  <pic:spPr>
                    <a:xfrm>
                      <a:off x="0" y="0"/>
                      <a:ext cx="4937760" cy="2777490"/>
                    </a:xfrm>
                    <a:prstGeom prst="rect"/>
                  </pic:spPr>
                </pic:pic>
              </a:graphicData>
            </a:graphic>
          </wp:inline>
        </w:drawing>
      </w:r>
    </w:p>
    <w:p>
      <w:pPr>
        <w:jc w:val="center"/>
      </w:pPr>
      <w:r>
        <w:rPr>
          <w:i/>
          <w:sz w:val="18"/>
        </w:rPr>
        <w:t>图：登录页经 HTTP 明文访问（浏览器 Not secure）</w:t>
      </w:r>
    </w:p>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“账户管理”列表对“Tel(手机号)”列做了掩码展示（134****xxxx），但同页“User ID”列以完整明文展示用户手机号（用户账号即手机号），脱敏不一致。经接口层确认：POST /api/user-center/account/pageAccount 响应中 phone 字段已掩码（134****xxxx），但 userName 字段以完整明文返回手机号，说明掩码仅为前端展示层面、后端仍下发完整个人信息。</w:t>
            </w:r>
          </w:p>
        </w:tc>
      </w:tr>
      <w:tr>
        <w:tc>
          <w:tcPr>
            <w:tcW w:type="dxa" w:w="1872"/>
            <w:shd w:val="clear" w:fill="F2F2F2"/>
          </w:tcPr>
          <w:p>
            <w:r>
              <w:rPr>
                <w:b/>
              </w:rPr>
              <w:t>修复建议</w:t>
            </w:r>
          </w:p>
        </w:tc>
        <w:tc>
          <w:tcPr>
            <w:tcW w:type="dxa" w:w="7488"/>
          </w:tcPr>
          <w:p>
            <w:r>
              <w:t>对同一敏感字段在全部展示位置保持一致脱敏；确需展示完整值时按需授权 + 操作留痕。</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0" name="Picture 10"/>
            <wp:cNvGraphicFramePr>
              <a:graphicFrameLocks noChangeAspect="1"/>
            </wp:cNvGraphicFramePr>
            <a:graphic>
              <a:graphicData uri="http://schemas.openxmlformats.org/drawingml/2006/picture">
                <pic:pic>
                  <pic:nvPicPr>
                    <pic:cNvPr id="0" name="fig_account.png"/>
                    <pic:cNvPicPr/>
                  </pic:nvPicPr>
                  <pic:blipFill>
                    <a:blip r:embed="rId12"/>
                    <a:stretch>
                      <a:fillRect/>
                    </a:stretch>
                  </pic:blipFill>
                  <pic:spPr>
                    <a:xfrm>
                      <a:off x="0" y="0"/>
                      <a:ext cx="4937760" cy="2777490"/>
                    </a:xfrm>
                    <a:prstGeom prst="rect"/>
                  </pic:spPr>
                </pic:pic>
              </a:graphicData>
            </a:graphic>
          </wp:inline>
        </w:drawing>
      </w:r>
    </w:p>
    <w:p>
      <w:pPr>
        <w:jc w:val="center"/>
      </w:pPr>
      <w:r>
        <w:rPr>
          <w:i/>
          <w:sz w:val="18"/>
        </w:rPr>
        <w:t>图：Tel 列已掩码但 User ID 列明文展示完整手机号</w:t>
      </w:r>
    </w:p>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实测账户导出为服务端异步任务模式：点击导出经 POST /api/data-center/downloadRecord/addTask（bizType=USER_ACCOUNT_REPORT）提交任务，在“下载中心-导出任务”中生成并下载；导出记录经 downloadRecord/page 按租户隔离展示、需认证，并带 creatorCode/createTime 等留痕字段，具备鉴权与导出留痕控制。</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为控制真实个人信息外泄，未将导出文件落地检测端；又因本环境异步制表未在测试窗口内完成，导出文件对手机号等字段是否脱敏未能最终确认；结合 DATA-002（后端 userName 返回完整手机号），建议业务方重点复核导出文件字段脱敏。</w:t>
            </w:r>
          </w:p>
        </w:tc>
      </w:tr>
    </w:tbl>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目标未部署 HTTPS，全站 HTTP 明文，且根路径请求未见 HTTP→HTTPS 跳转（返回 200），响应亦无 Strict-Transport-Security(HSTS) 头。</w:t>
            </w:r>
          </w:p>
        </w:tc>
      </w:tr>
      <w:tr>
        <w:tc>
          <w:tcPr>
            <w:tcW w:type="dxa" w:w="1872"/>
            <w:shd w:val="clear" w:fill="F2F2F2"/>
          </w:tcPr>
          <w:p>
            <w:r>
              <w:rPr>
                <w:b/>
              </w:rPr>
              <w:t>修复建议</w:t>
            </w:r>
          </w:p>
        </w:tc>
        <w:tc>
          <w:tcPr>
            <w:tcW w:type="dxa" w:w="7488"/>
          </w:tcPr>
          <w:p>
            <w:r>
              <w:t>部署有效 TLS 证书并全站启用 HTTPS，配置 HTTP 强制跳转 HTTPS 与 HSTS。</w:t>
            </w:r>
          </w:p>
        </w:tc>
      </w:tr>
      <w:tr>
        <w:tc>
          <w:tcPr>
            <w:tcW w:type="dxa" w:w="1872"/>
            <w:shd w:val="clear" w:fill="F2F2F2"/>
          </w:tcPr>
          <w:p>
            <w:r>
              <w:rPr>
                <w:b/>
              </w:rPr>
              <w:t>备注</w:t>
            </w:r>
          </w:p>
        </w:tc>
        <w:tc>
          <w:tcPr>
            <w:tcW w:type="dxa" w:w="7488"/>
          </w:tcPr>
          <w:p>
            <w:r/>
          </w:p>
        </w:tc>
      </w:tr>
    </w:tbl>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对接口发起 OPTIONS/TRACE/PUT/DELETE/PATCH 等方法测试，服务端均返回 405 Method Not Allowed，未开放高危 HTTP 方法。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系统已强制强口令策略（最小长度 10 位、需同时包含数字与字母、更新周期约 90 天、历史口令不得重复，见 AUTH-008），并启用登录失败锁定（5 次 / 15 分钟，见 AUTH-005），弱口令无法被设置、在线爆破受有效抑制。遵循最小影响原则未实施口令爆破。</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基于已启用的强口令策略与失败锁定判定；预置固定初始口令风险另见 AUTH-004。</w:t>
            </w:r>
          </w:p>
        </w:tc>
      </w:tr>
    </w:tbl>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已做低影响反射型抽样：向网关注入 &lt;script&gt;alert(1)&lt;/script&gt; 路径，服务端仅返回 JSON 错误、未回显可执行载荷，且前端为 Vue（默认转义），反射型 XSS 抽样未发现；存储型 XSS（如 nickName 等字段）需写入账号/业务数据，属较高影响操作，未开展。会话令牌存于 localStorage（见 SESS-001/005），一旦存在 XSS 影响将被放大。</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反射型抽样无回显；存储型因需写入业务数据、非破坏性约束未测试，据实标未测试。</w:t>
            </w:r>
          </w:p>
        </w:tc>
      </w:tr>
    </w:tbl>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可访问接口均以 JSON 交互（Content-Type: application/json），未发现接受 XML 输入的解析入口，XXE 不适用于当前接口形态。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未发现 XML 解析入口，列为不涉及。</w:t>
            </w:r>
          </w:p>
        </w:tc>
      </w:tr>
    </w:tbl>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系统认证采用经 Authorization 头传递的 Bearer 令牌（存于 localStorage，非 Cookie 自动携带），跨站请求无法自动携带用户凭证，传统 CSRF 风险较低。</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需结合 SESS-002 的 CORS 配置整改，避免跨域携带凭证读取数据。</w:t>
            </w:r>
          </w:p>
        </w:tc>
      </w:tr>
    </w:tbl>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对地址解析接口 GET /api/oms-service/applet/address/parseAddress 注入 http://example.com/ 与 http://127.0.0.1:8003/ 等 URL 载荷，服务端将其作为非法地址直接返回失败、未发起对目标 URL 的外发请求；检阅可访问接口未发现用户可控的 URL 拉取型 SSRF 汇聚点。</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抽样主动测试，接口对 URL 输入不发起外部请求；未穷举全部接口。</w:t>
            </w:r>
          </w:p>
        </w:tc>
      </w:tr>
    </w:tbl>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对账户查询接口 POST /api/user-center/account/pageAccount 的 userName 搜索参数注入单引号、' OR '1'='1、'1' -- 等错误/布尔型探测载荷，响应与基线完全一致（无 SQL 报错、无结果集变化），未发现 SQL 注入迹象（参数化查询）。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抽样主动测试，限于可访问的典型查询接口，未穷举全部参数。</w:t>
            </w:r>
          </w:p>
        </w:tc>
      </w:tr>
    </w:tbl>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系统认证基于手机号+口令的 OAuth2 令牌端点（账号体系基于数据库），未发现 LDAP 目录查询入口，LDAP 注入不适用。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未发现 LDAP 入口，列为不涉及。</w:t>
            </w:r>
          </w:p>
        </w:tc>
      </w:tr>
    </w:tbl>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对文件下载/读取相关接口（POST /api/ent-base/print/downloadFromOSS）注入路径遍历/本地文件包含载荷（../../../../../../etc/passwd 等），服务端返回统一异常、未回读任意文件，未发现文件包含/路径遍历迹象。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抽样主动测试，与 BUS-002 共享证据。</w:t>
            </w:r>
          </w:p>
        </w:tc>
      </w:tr>
    </w:tbl>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接口均以 JSON（Jackson）交互；向账户接口提交 Content-Type: application/x-java-serialized-object 的非 JSON 字节体，服务端直接返回统一异常、未观察到原生反序列化处理，未发现反序列化汇聚点。</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抽样主动测试；Jackson 多态深度反序列化未穷举，未发现原生序列化入口。</w:t>
            </w:r>
          </w:p>
        </w:tc>
      </w:tr>
    </w:tbl>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向账户搜索参数注入良性命令注入标记（$(sleep 0);id`whoami`），服务端将其作为普通搜索字符串处理（返回无匹配结果、响应耗时无 sleep 迹象），未发现命令执行迹象。</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抽样主动测试，未发现命令注入/执行汇聚点。</w:t>
            </w:r>
          </w:p>
        </w:tc>
      </w:tr>
    </w:tbl>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查看应用页面源码与前端资源，未发现植入的暗链、异常隐藏外链或非法跳转。</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前端 Web 服务为 openresty（未回显版本）；后端经 404 默认错误 JSON 结构确认为 Spring Boot。针对最具影响的 Spring 框架 RCE（Spring4Shell / CVE-2022-22965）作无写入副作用的安全探测（class.* 绑定参数），未观察到中招迹象；结合 actuator/swagger/druid 等未对外暴露（见 VULN-015）。</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抽样主动探测未发现高危框架漏洞中招；因无法获取组件精确小版本，未能穷举全部 CVE，建议由资产方核对版本并纳入 SCA 例行扫描。</w:t>
            </w:r>
          </w:p>
        </w:tc>
      </w:tr>
    </w:tbl>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未认证访问受保护接口（如 GET /api/user-center/users/getUser 不带令牌）返回 401；访问应用页面跳转登录；actuator/swagger/druid 等管理端点未对外暴露，未发现明显未授权访问点。</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未穷举全部接口，基于抽样与关键端点验证。</w:t>
            </w:r>
          </w:p>
        </w:tc>
      </w:tr>
    </w:tbl>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BF8F00"/>
              </w:rPr>
              <w:t>中</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综合发现多处敏感信息暴露：账户列表 User ID 列明文展示完整手机号（个人信息）；access_token 经 URL 查询参数传递；前端 env.js/bundle 暴露内部微服务前缀、内部对象存储地址与第三方地图 Key。</w:t>
            </w:r>
          </w:p>
        </w:tc>
      </w:tr>
      <w:tr>
        <w:tc>
          <w:tcPr>
            <w:tcW w:type="dxa" w:w="1872"/>
            <w:shd w:val="clear" w:fill="F2F2F2"/>
          </w:tcPr>
          <w:p>
            <w:r>
              <w:rPr>
                <w:b/>
              </w:rPr>
              <w:t>修复建议</w:t>
            </w:r>
          </w:p>
        </w:tc>
        <w:tc>
          <w:tcPr>
            <w:tcW w:type="dxa" w:w="7488"/>
          </w:tcPr>
          <w:p>
            <w:r>
              <w:t>对个人信息一致脱敏；令牌禁止走 URL；前端最小化暴露内部服务信息与第三方凭证。</w:t>
            </w:r>
          </w:p>
        </w:tc>
      </w:tr>
      <w:tr>
        <w:tc>
          <w:tcPr>
            <w:tcW w:type="dxa" w:w="1872"/>
            <w:shd w:val="clear" w:fill="F2F2F2"/>
          </w:tcPr>
          <w:p>
            <w:r>
              <w:rPr>
                <w:b/>
              </w:rPr>
              <w:t>备注</w:t>
            </w:r>
          </w:p>
        </w:tc>
        <w:tc>
          <w:tcPr>
            <w:tcW w:type="dxa" w:w="7488"/>
          </w:tcPr>
          <w:p>
            <w:r>
              <w:t>详见 DATA-002、SESS-005、FRON-002、Key-002。</w:t>
            </w:r>
          </w:p>
        </w:tc>
      </w:tr>
    </w:tbl>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t>—</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对可访问只读接口多次采样单次耗时，各接口响应稳定在约 300~470ms、无显著时序差异；登录失败返回通用错误（降低基于耗时的用户枚举风险），未发现可被利用的明显时序侧信道。</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抽样单次耗时无显著差异；为避免账号锁定，未做高强度统计时序攻击。</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