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PVS 一体化验证平台</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认证态 + 未认证黑盒（经隧道直连，最小影响测试）</w:t>
      </w:r>
    </w:p>
    <w:p/>
    <w:p/>
    <w:p/>
    <w:p/>
    <w:p/>
    <w:p/>
    <w:p>
      <w:pPr>
        <w:jc w:val="center"/>
      </w:pPr>
      <w:r>
        <w:rPr>
          <w:rFonts w:ascii="微软雅黑" w:hAnsi="微软雅黑" w:eastAsia="微软雅黑"/>
          <w:b w:val="0"/>
          <w:sz w:val="26"/>
        </w:rPr>
        <w:t>委托单位：东风商用车有限公司</w:t>
      </w:r>
    </w:p>
    <w:p>
      <w:pPr>
        <w:jc w:val="center"/>
      </w:pPr>
      <w:r>
        <w:rPr>
          <w:rFonts w:ascii="微软雅黑" w:hAnsi="微软雅黑" w:eastAsia="微软雅黑"/>
          <w:b w:val="0"/>
          <w:sz w:val="26"/>
        </w:rPr>
        <w:t>测试人员：AI安全员</w:t>
      </w:r>
    </w:p>
    <w:p>
      <w:pPr>
        <w:jc w:val="center"/>
      </w:pPr>
      <w:r>
        <w:rPr>
          <w:rFonts w:ascii="微软雅黑" w:hAnsi="微软雅黑" w:eastAsia="微软雅黑"/>
          <w:b w:val="0"/>
          <w:sz w:val="26"/>
        </w:rPr>
        <w:t>测试日期：2026年07月29日</w:t>
      </w:r>
    </w:p>
    <w:p/>
    <w:p/>
    <w:p/>
    <w:p/>
    <w:p/>
    <w:p/>
    <w:p>
      <w:pPr>
        <w:jc w:val="center"/>
      </w:pPr>
      <w:r>
        <w:rPr>
          <w:rFonts w:ascii="微软雅黑" w:hAnsi="微软雅黑" w:eastAsia="微软雅黑"/>
          <w:b w:val="0"/>
          <w:sz w:val="24"/>
        </w:rPr>
        <w:t>AI安全员</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https://pvs-test.dfcv.com.cn/mpcloud/login 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 Web Security Testing Guide v4.2》</w:t>
      </w:r>
    </w:p>
    <w:p>
      <w:pPr>
        <w:pStyle w:val="ListBullet"/>
      </w:pPr>
      <w:r>
        <w:t>《OWASP Top 10:2021》</w:t>
      </w:r>
    </w:p>
    <w:p>
      <w:pPr>
        <w:pStyle w:val="ListBullet"/>
      </w:pPr>
      <w:r>
        <w:t>《PTES 渗透测试执行标准》</w:t>
      </w:r>
    </w:p>
    <w:p>
      <w:pPr>
        <w:pStyle w:val="ListBullet"/>
      </w:pPr>
      <w:r>
        <w:t>《ISO/IEC 27001:2022 信息安全管理体系》</w:t>
      </w:r>
    </w:p>
    <w:p>
      <w:pPr>
        <w:pStyle w:val="ListBullet"/>
      </w:pPr>
      <w:r>
        <w:t>《GB/T 22239-2019 信息安全技术 网络安全等级保护基本要求》</w:t>
      </w:r>
    </w:p>
    <w:p>
      <w:pPr>
        <w:pStyle w:val="ListBullet"/>
      </w:pPr>
      <w:r>
        <w:t>《GB/T 30279-2020 信息安全技术 网络安全漏洞分类分级指南》</w:t>
      </w:r>
    </w:p>
    <w:p>
      <w:pPr>
        <w:pStyle w:val="ListBullet"/>
      </w:pPr>
      <w:r>
        <w:t>《中华人民共和国网络安全法》</w:t>
      </w:r>
    </w:p>
    <w:p>
      <w:pPr>
        <w:pStyle w:val="ListBullet"/>
      </w:pPr>
      <w:r>
        <w:t>《中华人民共和国数据安全法》</w:t>
      </w:r>
    </w:p>
    <w:p>
      <w:pPr>
        <w:pStyle w:val="ListBullet"/>
      </w:pPr>
      <w:r>
        <w:t>《中华人民共和国个人信息保护法》</w:t>
      </w:r>
    </w:p>
    <w:p>
      <w:r>
        <w:rPr>
          <w:i/>
        </w:rPr>
        <w:t>注：上述标准每次执行检测前应重新核对是否有更新版本。</w:t>
      </w:r>
    </w:p>
    <w:p>
      <w:pPr>
        <w:pStyle w:val="Heading2"/>
      </w:pPr>
      <w:r>
        <w:t>适用说明</w:t>
      </w:r>
    </w:p>
    <w:p>
      <w:r>
        <w:rPr>
          <w:i w:val="0"/>
        </w:rPr>
        <w:t>针对软件应用（含移动服务端、C/S 服务端等）开展应用安全检测，本次被测对象为 PVS 一体化验证平台，不涉及主机、配置等其他检测。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避免造成被测评系统的性能明显下降、网络拥塞、服务中断等；不删除或修改数据、不触发破坏性操作、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浏览器 + 开发者工具/CDP</w:t>
            </w:r>
          </w:p>
        </w:tc>
        <w:tc>
          <w:tcPr>
            <w:tcW w:type="dxa" w:w="2880"/>
          </w:tcPr>
          <w:p>
            <w:r>
              <w:t>手工检测</w:t>
            </w:r>
          </w:p>
        </w:tc>
        <w:tc>
          <w:tcPr>
            <w:tcW w:type="dxa" w:w="2880"/>
          </w:tcPr>
          <w:p>
            <w:r>
              <w:t>页面/JS/Cookie/请求响应观察与截图取证</w:t>
            </w:r>
          </w:p>
        </w:tc>
      </w:tr>
      <w:tr>
        <w:tc>
          <w:tcPr>
            <w:tcW w:type="dxa" w:w="2880"/>
          </w:tcPr>
          <w:p>
            <w:r>
              <w:t>curl</w:t>
            </w:r>
          </w:p>
        </w:tc>
        <w:tc>
          <w:tcPr>
            <w:tcW w:type="dxa" w:w="2880"/>
          </w:tcPr>
          <w:p>
            <w:r>
              <w:t>手工检测</w:t>
            </w:r>
          </w:p>
        </w:tc>
        <w:tc>
          <w:tcPr>
            <w:tcW w:type="dxa" w:w="2880"/>
          </w:tcPr>
          <w:p>
            <w:r>
              <w:t>HTTP 请求构造、响应头、状态码与 CORS 验证</w:t>
            </w:r>
          </w:p>
        </w:tc>
      </w:tr>
      <w:tr>
        <w:tc>
          <w:tcPr>
            <w:tcW w:type="dxa" w:w="2880"/>
          </w:tcPr>
          <w:p>
            <w:r>
              <w:t>OpenSSL s_client</w:t>
            </w:r>
          </w:p>
        </w:tc>
        <w:tc>
          <w:tcPr>
            <w:tcW w:type="dxa" w:w="2880"/>
          </w:tcPr>
          <w:p>
            <w:r>
              <w:t>传输层检测</w:t>
            </w:r>
          </w:p>
        </w:tc>
        <w:tc>
          <w:tcPr>
            <w:tcW w:type="dxa" w:w="2880"/>
          </w:tcPr>
          <w:p>
            <w:r>
              <w:t>TLS 协议版本/加密套件/证书链验证</w:t>
            </w:r>
          </w:p>
        </w:tc>
      </w:tr>
    </w:tbl>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2026-07-29</w:t>
            </w:r>
          </w:p>
        </w:tc>
        <w:tc>
          <w:tcPr>
            <w:tcW w:type="dxa" w:w="2160"/>
          </w:tcPr>
          <w:p>
            <w:r>
              <w:t>V1.0</w:t>
            </w:r>
          </w:p>
        </w:tc>
        <w:tc>
          <w:tcPr>
            <w:tcW w:type="dxa" w:w="2160"/>
          </w:tcPr>
          <w:p>
            <w:r>
              <w:t>创建 PVS 一体化验证平台应用安全检测报告（认证态+未认证黑盒，最小影响）</w:t>
            </w:r>
          </w:p>
        </w:tc>
        <w:tc>
          <w:tcPr>
            <w:tcW w:type="dxa" w:w="2160"/>
          </w:tcPr>
          <w:p>
            <w:r>
              <w:t>AI安全员</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PVS 一体化验证平台</w:t>
            </w:r>
          </w:p>
        </w:tc>
        <w:tc>
          <w:tcPr>
            <w:tcW w:type="dxa" w:w="2160"/>
          </w:tcPr>
          <w:p>
            <w:r>
              <w:t>未定级（建议按重要业务系统对待）</w:t>
            </w:r>
          </w:p>
        </w:tc>
        <w:tc>
          <w:tcPr>
            <w:tcW w:type="dxa" w:w="2160"/>
          </w:tcPr>
          <w:p>
            <w:r>
              <w:t>https://pvs-test.dfcv.com.cn/mpcloud/login</w:t>
            </w:r>
          </w:p>
        </w:tc>
        <w:tc>
          <w:tcPr>
            <w:tcW w:type="dxa" w:w="2160"/>
          </w:tcPr>
          <w:p>
            <w:r>
              <w:t>内网访问（经隧道直连，脱敏）</w:t>
            </w:r>
          </w:p>
        </w:tc>
      </w:tr>
    </w:tbl>
    <w:p>
      <w:pPr>
        <w:pStyle w:val="Heading2"/>
      </w:pPr>
      <w:r>
        <w:t>风险信息</w:t>
      </w:r>
    </w:p>
    <w:p>
      <w:r>
        <w:rPr>
          <w:i w:val="0"/>
        </w:rPr>
        <w:t>本次安全检测共完成 55 项检测内容，共计发现 11 个安全风险，其中高危风险 1 个、中危风险 10 个、低危风险 0 个（判定为“不符合”）。另有“符合” 14 项、“未测试” 29 项、“不涉及” 1 项。</w:t>
      </w:r>
    </w:p>
    <w:p>
      <w:r>
        <w:rPr>
          <w:i w:val="0"/>
        </w:rPr>
        <w:t>“未测试” 29 项系因测试条件受限（如缺少对照账号、生产环境非破坏性约束、经隧道无法验证等）无法完成验证，据实标记并说明原因；“不涉及” 1 项系统不涉及对应功能场景。</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3.3.2</w:t>
            </w:r>
          </w:p>
        </w:tc>
        <w:tc>
          <w:tcPr>
            <w:tcW w:type="dxa" w:w="1728"/>
          </w:tcPr>
          <w:p>
            <w:r>
              <w:t>前端JS泄露安全测试</w:t>
            </w:r>
          </w:p>
        </w:tc>
        <w:tc>
          <w:tcPr>
            <w:tcW w:type="dxa" w:w="1728"/>
          </w:tcPr>
          <w:p>
            <w:r>
              <w:rPr>
                <w:b/>
                <w:color w:val="E36C09"/>
              </w:rPr>
              <w:t>中</w:t>
            </w:r>
          </w:p>
        </w:tc>
        <w:tc>
          <w:tcPr>
            <w:tcW w:type="dxa" w:w="1728"/>
          </w:tcPr>
          <w:p>
            <w:r/>
          </w:p>
        </w:tc>
      </w:tr>
      <w:tr>
        <w:tc>
          <w:tcPr>
            <w:tcW w:type="dxa" w:w="1728"/>
          </w:tcPr>
          <w:p>
            <w:r>
              <w:t>2</w:t>
            </w:r>
          </w:p>
        </w:tc>
        <w:tc>
          <w:tcPr>
            <w:tcW w:type="dxa" w:w="1728"/>
          </w:tcPr>
          <w:p>
            <w:r>
              <w:t>3.4.1</w:t>
            </w:r>
          </w:p>
        </w:tc>
        <w:tc>
          <w:tcPr>
            <w:tcW w:type="dxa" w:w="1728"/>
          </w:tcPr>
          <w:p>
            <w:r>
              <w:t>软件版本信息泄漏安全测试</w:t>
            </w:r>
          </w:p>
        </w:tc>
        <w:tc>
          <w:tcPr>
            <w:tcW w:type="dxa" w:w="1728"/>
          </w:tcPr>
          <w:p>
            <w:r>
              <w:rPr>
                <w:b/>
                <w:color w:val="E36C09"/>
              </w:rPr>
              <w:t>中</w:t>
            </w:r>
          </w:p>
        </w:tc>
        <w:tc>
          <w:tcPr>
            <w:tcW w:type="dxa" w:w="1728"/>
          </w:tcPr>
          <w:p>
            <w:r/>
          </w:p>
        </w:tc>
      </w:tr>
      <w:tr>
        <w:tc>
          <w:tcPr>
            <w:tcW w:type="dxa" w:w="1728"/>
          </w:tcPr>
          <w:p>
            <w:r>
              <w:t>3</w:t>
            </w:r>
          </w:p>
        </w:tc>
        <w:tc>
          <w:tcPr>
            <w:tcW w:type="dxa" w:w="1728"/>
          </w:tcPr>
          <w:p>
            <w:r>
              <w:t>3.5.1</w:t>
            </w:r>
          </w:p>
        </w:tc>
        <w:tc>
          <w:tcPr>
            <w:tcW w:type="dxa" w:w="1728"/>
          </w:tcPr>
          <w:p>
            <w:r>
              <w:t>验证码功能安全测试</w:t>
            </w:r>
          </w:p>
        </w:tc>
        <w:tc>
          <w:tcPr>
            <w:tcW w:type="dxa" w:w="1728"/>
          </w:tcPr>
          <w:p>
            <w:r>
              <w:rPr>
                <w:b/>
                <w:color w:val="E36C09"/>
              </w:rPr>
              <w:t>中</w:t>
            </w:r>
          </w:p>
        </w:tc>
        <w:tc>
          <w:tcPr>
            <w:tcW w:type="dxa" w:w="1728"/>
          </w:tcPr>
          <w:p>
            <w:r/>
          </w:p>
        </w:tc>
      </w:tr>
      <w:tr>
        <w:tc>
          <w:tcPr>
            <w:tcW w:type="dxa" w:w="1728"/>
          </w:tcPr>
          <w:p>
            <w:r>
              <w:t>4</w:t>
            </w:r>
          </w:p>
        </w:tc>
        <w:tc>
          <w:tcPr>
            <w:tcW w:type="dxa" w:w="1728"/>
          </w:tcPr>
          <w:p>
            <w:r>
              <w:t>3.5.4</w:t>
            </w:r>
          </w:p>
        </w:tc>
        <w:tc>
          <w:tcPr>
            <w:tcW w:type="dxa" w:w="1728"/>
          </w:tcPr>
          <w:p>
            <w:r>
              <w:t>首次登录强制改密安全测试</w:t>
            </w:r>
          </w:p>
        </w:tc>
        <w:tc>
          <w:tcPr>
            <w:tcW w:type="dxa" w:w="1728"/>
          </w:tcPr>
          <w:p>
            <w:r>
              <w:rPr>
                <w:b/>
                <w:color w:val="E36C09"/>
              </w:rPr>
              <w:t>中</w:t>
            </w:r>
          </w:p>
        </w:tc>
        <w:tc>
          <w:tcPr>
            <w:tcW w:type="dxa" w:w="1728"/>
          </w:tcPr>
          <w:p>
            <w:r/>
          </w:p>
        </w:tc>
      </w:tr>
      <w:tr>
        <w:tc>
          <w:tcPr>
            <w:tcW w:type="dxa" w:w="1728"/>
          </w:tcPr>
          <w:p>
            <w:r>
              <w:t>5</w:t>
            </w:r>
          </w:p>
        </w:tc>
        <w:tc>
          <w:tcPr>
            <w:tcW w:type="dxa" w:w="1728"/>
          </w:tcPr>
          <w:p>
            <w:r>
              <w:t>3.5.8</w:t>
            </w:r>
          </w:p>
        </w:tc>
        <w:tc>
          <w:tcPr>
            <w:tcW w:type="dxa" w:w="1728"/>
          </w:tcPr>
          <w:p>
            <w:r>
              <w:t>强密码策略安全测试</w:t>
            </w:r>
          </w:p>
        </w:tc>
        <w:tc>
          <w:tcPr>
            <w:tcW w:type="dxa" w:w="1728"/>
          </w:tcPr>
          <w:p>
            <w:r>
              <w:rPr>
                <w:b/>
                <w:color w:val="E36C09"/>
              </w:rPr>
              <w:t>中</w:t>
            </w:r>
          </w:p>
        </w:tc>
        <w:tc>
          <w:tcPr>
            <w:tcW w:type="dxa" w:w="1728"/>
          </w:tcPr>
          <w:p>
            <w:r/>
          </w:p>
        </w:tc>
      </w:tr>
      <w:tr>
        <w:tc>
          <w:tcPr>
            <w:tcW w:type="dxa" w:w="1728"/>
          </w:tcPr>
          <w:p>
            <w:r>
              <w:t>6</w:t>
            </w:r>
          </w:p>
        </w:tc>
        <w:tc>
          <w:tcPr>
            <w:tcW w:type="dxa" w:w="1728"/>
          </w:tcPr>
          <w:p>
            <w:r>
              <w:t>3.5.10</w:t>
            </w:r>
          </w:p>
        </w:tc>
        <w:tc>
          <w:tcPr>
            <w:tcW w:type="dxa" w:w="1728"/>
          </w:tcPr>
          <w:p>
            <w:r>
              <w:t>用户标识、角色标识安全测试</w:t>
            </w:r>
          </w:p>
        </w:tc>
        <w:tc>
          <w:tcPr>
            <w:tcW w:type="dxa" w:w="1728"/>
          </w:tcPr>
          <w:p>
            <w:r>
              <w:rPr>
                <w:b/>
                <w:color w:val="E36C09"/>
              </w:rPr>
              <w:t>中</w:t>
            </w:r>
          </w:p>
        </w:tc>
        <w:tc>
          <w:tcPr>
            <w:tcW w:type="dxa" w:w="1728"/>
          </w:tcPr>
          <w:p>
            <w:r/>
          </w:p>
        </w:tc>
      </w:tr>
      <w:tr>
        <w:tc>
          <w:tcPr>
            <w:tcW w:type="dxa" w:w="1728"/>
          </w:tcPr>
          <w:p>
            <w:r>
              <w:t>7</w:t>
            </w:r>
          </w:p>
        </w:tc>
        <w:tc>
          <w:tcPr>
            <w:tcW w:type="dxa" w:w="1728"/>
          </w:tcPr>
          <w:p>
            <w:r>
              <w:t>3.7.1</w:t>
            </w:r>
          </w:p>
        </w:tc>
        <w:tc>
          <w:tcPr>
            <w:tcW w:type="dxa" w:w="1728"/>
          </w:tcPr>
          <w:p>
            <w:r>
              <w:t>Cookie安全测试</w:t>
            </w:r>
          </w:p>
        </w:tc>
        <w:tc>
          <w:tcPr>
            <w:tcW w:type="dxa" w:w="1728"/>
          </w:tcPr>
          <w:p>
            <w:r>
              <w:rPr>
                <w:b/>
                <w:color w:val="E36C09"/>
              </w:rPr>
              <w:t>中</w:t>
            </w:r>
          </w:p>
        </w:tc>
        <w:tc>
          <w:tcPr>
            <w:tcW w:type="dxa" w:w="1728"/>
          </w:tcPr>
          <w:p>
            <w:r/>
          </w:p>
        </w:tc>
      </w:tr>
      <w:tr>
        <w:tc>
          <w:tcPr>
            <w:tcW w:type="dxa" w:w="1728"/>
          </w:tcPr>
          <w:p>
            <w:r>
              <w:t>8</w:t>
            </w:r>
          </w:p>
        </w:tc>
        <w:tc>
          <w:tcPr>
            <w:tcW w:type="dxa" w:w="1728"/>
          </w:tcPr>
          <w:p>
            <w:r>
              <w:t>3.7.2</w:t>
            </w:r>
          </w:p>
        </w:tc>
        <w:tc>
          <w:tcPr>
            <w:tcW w:type="dxa" w:w="1728"/>
          </w:tcPr>
          <w:p>
            <w:r>
              <w:t>CORS跨域资源共享安全测试</w:t>
            </w:r>
          </w:p>
        </w:tc>
        <w:tc>
          <w:tcPr>
            <w:tcW w:type="dxa" w:w="1728"/>
          </w:tcPr>
          <w:p>
            <w:r>
              <w:rPr>
                <w:b/>
                <w:color w:val="E36C09"/>
              </w:rPr>
              <w:t>中</w:t>
            </w:r>
          </w:p>
        </w:tc>
        <w:tc>
          <w:tcPr>
            <w:tcW w:type="dxa" w:w="1728"/>
          </w:tcPr>
          <w:p>
            <w:r/>
          </w:p>
        </w:tc>
      </w:tr>
      <w:tr>
        <w:tc>
          <w:tcPr>
            <w:tcW w:type="dxa" w:w="1728"/>
          </w:tcPr>
          <w:p>
            <w:r>
              <w:t>9</w:t>
            </w:r>
          </w:p>
        </w:tc>
        <w:tc>
          <w:tcPr>
            <w:tcW w:type="dxa" w:w="1728"/>
          </w:tcPr>
          <w:p>
            <w:r>
              <w:t>3.8.1</w:t>
            </w:r>
          </w:p>
        </w:tc>
        <w:tc>
          <w:tcPr>
            <w:tcW w:type="dxa" w:w="1728"/>
          </w:tcPr>
          <w:p>
            <w:r>
              <w:t>密钥存储安全测试</w:t>
            </w:r>
          </w:p>
        </w:tc>
        <w:tc>
          <w:tcPr>
            <w:tcW w:type="dxa" w:w="1728"/>
          </w:tcPr>
          <w:p>
            <w:r>
              <w:rPr>
                <w:b/>
                <w:color w:val="E36C09"/>
              </w:rPr>
              <w:t>中</w:t>
            </w:r>
          </w:p>
        </w:tc>
        <w:tc>
          <w:tcPr>
            <w:tcW w:type="dxa" w:w="1728"/>
          </w:tcPr>
          <w:p>
            <w:r/>
          </w:p>
        </w:tc>
      </w:tr>
      <w:tr>
        <w:tc>
          <w:tcPr>
            <w:tcW w:type="dxa" w:w="1728"/>
          </w:tcPr>
          <w:p>
            <w:r>
              <w:t>10</w:t>
            </w:r>
          </w:p>
        </w:tc>
        <w:tc>
          <w:tcPr>
            <w:tcW w:type="dxa" w:w="1728"/>
          </w:tcPr>
          <w:p>
            <w:r>
              <w:t>3.13.3</w:t>
            </w:r>
          </w:p>
        </w:tc>
        <w:tc>
          <w:tcPr>
            <w:tcW w:type="dxa" w:w="1728"/>
          </w:tcPr>
          <w:p>
            <w:r>
              <w:t>弱口令安全测试</w:t>
            </w:r>
          </w:p>
        </w:tc>
        <w:tc>
          <w:tcPr>
            <w:tcW w:type="dxa" w:w="1728"/>
          </w:tcPr>
          <w:p>
            <w:r>
              <w:rPr>
                <w:b/>
                <w:color w:val="C00000"/>
              </w:rPr>
              <w:t>高</w:t>
            </w:r>
          </w:p>
        </w:tc>
        <w:tc>
          <w:tcPr>
            <w:tcW w:type="dxa" w:w="1728"/>
          </w:tcPr>
          <w:p>
            <w:r/>
          </w:p>
        </w:tc>
      </w:tr>
      <w:tr>
        <w:tc>
          <w:tcPr>
            <w:tcW w:type="dxa" w:w="1728"/>
          </w:tcPr>
          <w:p>
            <w:r>
              <w:t>11</w:t>
            </w:r>
          </w:p>
        </w:tc>
        <w:tc>
          <w:tcPr>
            <w:tcW w:type="dxa" w:w="1728"/>
          </w:tcPr>
          <w:p>
            <w:r>
              <w:t>3.13.16</w:t>
            </w:r>
          </w:p>
        </w:tc>
        <w:tc>
          <w:tcPr>
            <w:tcW w:type="dxa" w:w="1728"/>
          </w:tcPr>
          <w:p>
            <w:r>
              <w:t>敏感信息泄露安全测试</w:t>
            </w:r>
          </w:p>
        </w:tc>
        <w:tc>
          <w:tcPr>
            <w:tcW w:type="dxa" w:w="1728"/>
          </w:tcPr>
          <w:p>
            <w:r>
              <w:rPr>
                <w:b/>
                <w:color w:val="E36C09"/>
              </w:rPr>
              <w:t>中</w:t>
            </w:r>
          </w:p>
        </w:tc>
        <w:tc>
          <w:tcPr>
            <w:tcW w:type="dxa" w:w="1728"/>
          </w:tcPr>
          <w:p>
            <w:r/>
          </w:p>
        </w:tc>
      </w:tr>
    </w:tbl>
    <w:p>
      <w:r>
        <w:rPr>
          <w:i/>
        </w:rPr>
        <w:t>注：上表仅列出本次判定为“不符合”的 11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本次经 cpolar TCP 隧道仅将目标 443 端口映射至本地进行测试，无法从用户内网侧对目标主机开展整体端口扫描（Nmap 等），故未评估高危端口暴露、业务端与管理端端口分离、管理端 IP 白名单等情况。</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隧道限制：仅 443 可达，建议由用户内网侧执行全端口扫描后补充判定。</w:t>
            </w:r>
          </w:p>
        </w:tc>
      </w:tr>
    </w:tbl>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已获取组件指纹：前端为低代码平台（页面 HTML 注释 app-version 1.2.21、app-author mpgroup、build-time 2026-07-27），后端网关 server 头为 istio-envoy，系统标识 sysName=MP3.1。但缺少该 MP 平台的官方安全基线版本对照，未能判定 1.2.21/MP3.1 是否为满足基线的安全版本。</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需厂商基线版本清单方能判定组件版本是否达标。</w:t>
            </w:r>
          </w:p>
        </w:tc>
      </w:tr>
    </w:tbl>
    <w:p>
      <w:pPr>
        <w:jc w:val="center"/>
      </w:pPr>
      <w:r>
        <w:drawing>
          <wp:inline xmlns:a="http://schemas.openxmlformats.org/drawingml/2006/main" xmlns:pic="http://schemas.openxmlformats.org/drawingml/2006/picture">
            <wp:extent cx="4937760" cy="1741683"/>
            <wp:docPr id="1" name="Picture 1"/>
            <wp:cNvGraphicFramePr>
              <a:graphicFrameLocks noChangeAspect="1"/>
            </wp:cNvGraphicFramePr>
            <a:graphic>
              <a:graphicData uri="http://schemas.openxmlformats.org/drawingml/2006/picture">
                <pic:pic>
                  <pic:nvPicPr>
                    <pic:cNvPr id="0" name="fig_sysconfig.png"/>
                    <pic:cNvPicPr/>
                  </pic:nvPicPr>
                  <pic:blipFill>
                    <a:blip r:embed="rId9"/>
                    <a:stretch>
                      <a:fillRect/>
                    </a:stretch>
                  </pic:blipFill>
                  <pic:spPr>
                    <a:xfrm>
                      <a:off x="0" y="0"/>
                      <a:ext cx="4937760" cy="1741683"/>
                    </a:xfrm>
                    <a:prstGeom prst="rect"/>
                  </pic:spPr>
                </pic:pic>
              </a:graphicData>
            </a:graphic>
          </wp:inline>
        </w:drawing>
      </w:r>
    </w:p>
    <w:p>
      <w:pPr>
        <w:jc w:val="center"/>
      </w:pPr>
      <w:r>
        <w:rPr>
          <w:i/>
          <w:sz w:val="18"/>
        </w:rPr>
        <w:t>图：sysconfig.do 及页面注释暴露组件版本信息</w:t>
      </w:r>
    </w:p>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前端为 Vue + antd 打包应用（chunk-antd-vue、chunk-libs 等），未逐一提取各第三方 JS 库精确版本并与已知漏洞库比对，故本项未下结论。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需提取 bundle 内各 JS 库版本方能完整比对。</w:t>
            </w:r>
          </w:p>
        </w:tc>
      </w:tr>
    </w:tbl>
    <w:p/>
    <w:p>
      <w:pPr>
        <w:pStyle w:val="Heading3"/>
      </w:pPr>
      <w:r>
        <w:t>前端JS泄露安全测试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前端JS泄露安全测试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前端JS文件应不包含敏感信息，如接口、密钥、个人敏感信息、应用敏感信息等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未认证状态下前端配置文件 /mpcloud/config/index.js 明文包含内网回跳地址 lowcodeDebugCallbackHost（172.26.**.**:29351）与租户标识 lcsTenancyId；未认证接口 /gateway/allinoneservice/mp/login/sysconfig.do 进一步下发前端主密钥 mpk（已脱敏）等信息，属前端 JS/配置敏感信息泄露。</w:t>
            </w:r>
          </w:p>
        </w:tc>
      </w:tr>
      <w:tr>
        <w:tc>
          <w:tcPr>
            <w:tcW w:type="dxa" w:w="1872"/>
            <w:shd w:val="clear" w:fill="F2F2F2"/>
          </w:tcPr>
          <w:p>
            <w:r>
              <w:rPr>
                <w:b/>
              </w:rPr>
              <w:t>修复建议</w:t>
            </w:r>
          </w:p>
        </w:tc>
        <w:tc>
          <w:tcPr>
            <w:tcW w:type="dxa" w:w="7488"/>
          </w:tcPr>
          <w:p>
            <w:r>
              <w:t>登录前不应下发内网地址、租户标识、前端主密钥等敏感信息；将必要的前端加密改为不暴露对称主密钥的方案，收敛未认证接口/配置文件返回内容。</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741683"/>
            <wp:docPr id="2" name="Picture 2"/>
            <wp:cNvGraphicFramePr>
              <a:graphicFrameLocks noChangeAspect="1"/>
            </wp:cNvGraphicFramePr>
            <a:graphic>
              <a:graphicData uri="http://schemas.openxmlformats.org/drawingml/2006/picture">
                <pic:pic>
                  <pic:nvPicPr>
                    <pic:cNvPr id="0" name="fig_sysconfig.png"/>
                    <pic:cNvPicPr/>
                  </pic:nvPicPr>
                  <pic:blipFill>
                    <a:blip r:embed="rId9"/>
                    <a:stretch>
                      <a:fillRect/>
                    </a:stretch>
                  </pic:blipFill>
                  <pic:spPr>
                    <a:xfrm>
                      <a:off x="0" y="0"/>
                      <a:ext cx="4937760" cy="1741683"/>
                    </a:xfrm>
                    <a:prstGeom prst="rect"/>
                  </pic:spPr>
                </pic:pic>
              </a:graphicData>
            </a:graphic>
          </wp:inline>
        </w:drawing>
      </w:r>
    </w:p>
    <w:p>
      <w:pPr>
        <w:jc w:val="center"/>
      </w:pPr>
      <w:r>
        <w:rPr>
          <w:i/>
          <w:sz w:val="18"/>
        </w:rPr>
        <w:t>图：未认证的前端配置与 sysconfig.do 泄露内网地址、租户ID与主密钥（已脱敏）</w:t>
      </w:r>
    </w:p>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无需登录即可从页面 HTML 注释获取 app-version 1.2.21 与 build-time，从 sysconfig.do 获取 sysName=MP3.1，网关 server 头暴露 istio-envoy，构成软件版本信息泄露。</w:t>
            </w:r>
          </w:p>
        </w:tc>
      </w:tr>
      <w:tr>
        <w:tc>
          <w:tcPr>
            <w:tcW w:type="dxa" w:w="1872"/>
            <w:shd w:val="clear" w:fill="F2F2F2"/>
          </w:tcPr>
          <w:p>
            <w:r>
              <w:rPr>
                <w:b/>
              </w:rPr>
              <w:t>修复建议</w:t>
            </w:r>
          </w:p>
        </w:tc>
        <w:tc>
          <w:tcPr>
            <w:tcW w:type="dxa" w:w="7488"/>
          </w:tcPr>
          <w:p>
            <w:r>
              <w:t>移除页面注释中的版本/构建时间；收敛 sysconfig.do 等未认证接口返回的系统标识；隐藏或改写网关 server 头。</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549680"/>
            <wp:docPr id="3" name="Picture 3"/>
            <wp:cNvGraphicFramePr>
              <a:graphicFrameLocks noChangeAspect="1"/>
            </wp:cNvGraphicFramePr>
            <a:graphic>
              <a:graphicData uri="http://schemas.openxmlformats.org/drawingml/2006/picture">
                <pic:pic>
                  <pic:nvPicPr>
                    <pic:cNvPr id="0" name="fig_headers.png"/>
                    <pic:cNvPicPr/>
                  </pic:nvPicPr>
                  <pic:blipFill>
                    <a:blip r:embed="rId10"/>
                    <a:stretch>
                      <a:fillRect/>
                    </a:stretch>
                  </pic:blipFill>
                  <pic:spPr>
                    <a:xfrm>
                      <a:off x="0" y="0"/>
                      <a:ext cx="4937760" cy="2549680"/>
                    </a:xfrm>
                    <a:prstGeom prst="rect"/>
                  </pic:spPr>
                </pic:pic>
              </a:graphicData>
            </a:graphic>
          </wp:inline>
        </w:drawing>
      </w:r>
    </w:p>
    <w:p>
      <w:pPr>
        <w:jc w:val="center"/>
      </w:pPr>
      <w:r>
        <w:rPr>
          <w:i/>
          <w:sz w:val="18"/>
        </w:rPr>
        <w:t>图：响应头 server=istio-envoy 及配置接口暴露版本信息</w:t>
      </w:r>
    </w:p>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认证态抓包显示所有网关请求头统一携带 timestamp（时间戳）、noncestr（随机数）与 sign（签名）三要素，登录报文 checkuser.do/validlogin.do 请求体为 reuestParas=&lt;Base64 密文&gt;，具备防重放与防篡改机制。</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已确认签名机制存在；未对签名算法强度与隐藏域校验做深入绕过测试。</w:t>
            </w:r>
          </w:p>
        </w:tc>
      </w:tr>
    </w:tbl>
    <w:p>
      <w:pPr>
        <w:jc w:val="center"/>
      </w:pPr>
      <w:r>
        <w:drawing>
          <wp:inline xmlns:a="http://schemas.openxmlformats.org/drawingml/2006/main" xmlns:pic="http://schemas.openxmlformats.org/drawingml/2006/picture">
            <wp:extent cx="4937760" cy="1876349"/>
            <wp:docPr id="4" name="Picture 4"/>
            <wp:cNvGraphicFramePr>
              <a:graphicFrameLocks noChangeAspect="1"/>
            </wp:cNvGraphicFramePr>
            <a:graphic>
              <a:graphicData uri="http://schemas.openxmlformats.org/drawingml/2006/picture">
                <pic:pic>
                  <pic:nvPicPr>
                    <pic:cNvPr id="0" name="fig_login_payload.png"/>
                    <pic:cNvPicPr/>
                  </pic:nvPicPr>
                  <pic:blipFill>
                    <a:blip r:embed="rId11"/>
                    <a:stretch>
                      <a:fillRect/>
                    </a:stretch>
                  </pic:blipFill>
                  <pic:spPr>
                    <a:xfrm>
                      <a:off x="0" y="0"/>
                      <a:ext cx="4937760" cy="1876349"/>
                    </a:xfrm>
                    <a:prstGeom prst="rect"/>
                  </pic:spPr>
                </pic:pic>
              </a:graphicData>
            </a:graphic>
          </wp:inline>
        </w:drawing>
      </w:r>
    </w:p>
    <w:p>
      <w:pPr>
        <w:jc w:val="center"/>
      </w:pPr>
      <w:r>
        <w:rPr>
          <w:i/>
          <w:sz w:val="18"/>
        </w:rPr>
        <w:t>图：请求统一携带 timestamp/noncestr/sign 防重放防篡改</w:t>
      </w:r>
    </w:p>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登录页配置滑块验证码（vCodeType=2），但实测连续两次使用普通登录均未触发任何验证码/滑块即直接登录成功，验证码在实际登录流程中未强制生效，无法起到防爆破作用。</w:t>
            </w:r>
          </w:p>
        </w:tc>
      </w:tr>
      <w:tr>
        <w:tc>
          <w:tcPr>
            <w:tcW w:type="dxa" w:w="1872"/>
            <w:shd w:val="clear" w:fill="F2F2F2"/>
          </w:tcPr>
          <w:p>
            <w:r>
              <w:rPr>
                <w:b/>
              </w:rPr>
              <w:t>修复建议</w:t>
            </w:r>
          </w:p>
        </w:tc>
        <w:tc>
          <w:tcPr>
            <w:tcW w:type="dxa" w:w="7488"/>
          </w:tcPr>
          <w:p>
            <w:r>
              <w:t>确保验证码在每次登录认证时强制校验并由服务端验证，认证失败后自动刷新验证码，避免空参数绕过。</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203018"/>
            <wp:docPr id="5" name="Picture 5"/>
            <wp:cNvGraphicFramePr>
              <a:graphicFrameLocks noChangeAspect="1"/>
            </wp:cNvGraphicFramePr>
            <a:graphic>
              <a:graphicData uri="http://schemas.openxmlformats.org/drawingml/2006/picture">
                <pic:pic>
                  <pic:nvPicPr>
                    <pic:cNvPr id="0" name="fig_weakpw.png"/>
                    <pic:cNvPicPr/>
                  </pic:nvPicPr>
                  <pic:blipFill>
                    <a:blip r:embed="rId12"/>
                    <a:stretch>
                      <a:fillRect/>
                    </a:stretch>
                  </pic:blipFill>
                  <pic:spPr>
                    <a:xfrm>
                      <a:off x="0" y="0"/>
                      <a:ext cx="4937760" cy="1203018"/>
                    </a:xfrm>
                    <a:prstGeom prst="rect"/>
                  </pic:spPr>
                </pic:pic>
              </a:graphicData>
            </a:graphic>
          </wp:inline>
        </w:drawing>
      </w:r>
    </w:p>
    <w:p>
      <w:pPr>
        <w:jc w:val="center"/>
      </w:pPr>
      <w:r>
        <w:rPr>
          <w:i/>
          <w:sz w:val="18"/>
        </w:rPr>
        <w:t>图：配置了滑块验证码但登录未强制触发</w:t>
      </w:r>
    </w:p>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登录页存在“找回密码”入口，用户菜单存在“修改密码”，平台管理含“伪强密码管理”，账号由后台/IAM 开通（无自助注册）。但改密需输入原密码、改密后是否强制重新登录、找回流程及相关日志留存等，需执行改密操作方能验证；为避免修改唯一管理员账号口令，本项未实测。</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为避免更改唯一管理员口令（破坏性）未实测改密/找回流程。</w:t>
            </w:r>
          </w:p>
        </w:tc>
      </w:tr>
    </w:tbl>
    <w:p/>
    <w:p>
      <w:pPr>
        <w:pStyle w:val="Heading3"/>
      </w:pPr>
      <w:r>
        <w:t>双因素验证功能安全测试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涉及使用短信及邮件模块进行验证，应满足以下安全要求：</w:t>
              <w:br/>
              <w:t>1、每个账号只允许每隔60s发送一次短信、邮件验证信息</w:t>
              <w:br/>
              <w:t>2、每个账号发送短信、邮件验证信息在120s有效</w:t>
              <w:br/>
              <w:t>3、每个账号发送短信、邮件验证码要求不小于6位，其中邮件通过链接验证，需在链接中添加临时token进行验证，临时token有效期在30min内</w:t>
              <w:br/>
              <w:t>4、每个账号每日发送短信、邮件验证信息最多不超过10次</w:t>
              <w:br/>
              <w:t>5、短信、邮件验证码一次性有效（即使用完后失效）</w:t>
              <w:br/>
              <w:t>6、短信、邮件验证码应后台发送，不能直接通过响应包直接返回用户</w:t>
              <w:br/>
              <w:t>7、业务系统应接入IAM，并开启双因素验证（面向C端由安全主任审核通过可例外）</w:t>
            </w:r>
          </w:p>
        </w:tc>
      </w:tr>
      <w:tr>
        <w:tc>
          <w:tcPr>
            <w:tcW w:type="dxa" w:w="1872"/>
            <w:shd w:val="clear" w:fill="F2F2F2"/>
          </w:tcPr>
          <w:p>
            <w:r>
              <w:rPr>
                <w:b/>
              </w:rPr>
              <w:t>风险影响</w:t>
            </w:r>
          </w:p>
        </w:tc>
        <w:tc>
          <w:tcPr>
            <w:tcW w:type="dxa" w:w="7488"/>
          </w:tcPr>
          <w:p>
            <w:r>
              <w:t>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sysconfig.do 显示 safedouble=false、dycodelogin=false，普通登录未启用短信/邮件双因素；系统提供 IAM 登录入口（SSO）。本次未使用短信/邮件验证模块，未对发送频率、有效期、位数、一次性、后台下发等安全项进行验证。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普通登录未启用双因素；未触发短信/邮件流程，无法评估其安全性。</w:t>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sysconfig.do 与前端配置均显示强制改密开关 forceChangePassword 为 false（isForceChangePassword 亦为 false），即使用初始/管理员分配口令首次登录时不强制修改口令；实测管理员以极弱口令登录亦未被要求改密。</w:t>
            </w:r>
          </w:p>
        </w:tc>
      </w:tr>
      <w:tr>
        <w:tc>
          <w:tcPr>
            <w:tcW w:type="dxa" w:w="1872"/>
            <w:shd w:val="clear" w:fill="F2F2F2"/>
          </w:tcPr>
          <w:p>
            <w:r>
              <w:rPr>
                <w:b/>
              </w:rPr>
              <w:t>修复建议</w:t>
            </w:r>
          </w:p>
        </w:tc>
        <w:tc>
          <w:tcPr>
            <w:tcW w:type="dxa" w:w="7488"/>
          </w:tcPr>
          <w:p>
            <w:r>
              <w:t>开启首次登录强制改密，并要求新口令满足强口令复杂度；对长期未登录的初始账号自动锁定并记录日志。</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741683"/>
            <wp:docPr id="6" name="Picture 6"/>
            <wp:cNvGraphicFramePr>
              <a:graphicFrameLocks noChangeAspect="1"/>
            </wp:cNvGraphicFramePr>
            <a:graphic>
              <a:graphicData uri="http://schemas.openxmlformats.org/drawingml/2006/picture">
                <pic:pic>
                  <pic:nvPicPr>
                    <pic:cNvPr id="0" name="fig_sysconfig.png"/>
                    <pic:cNvPicPr/>
                  </pic:nvPicPr>
                  <pic:blipFill>
                    <a:blip r:embed="rId9"/>
                    <a:stretch>
                      <a:fillRect/>
                    </a:stretch>
                  </pic:blipFill>
                  <pic:spPr>
                    <a:xfrm>
                      <a:off x="0" y="0"/>
                      <a:ext cx="4937760" cy="1741683"/>
                    </a:xfrm>
                    <a:prstGeom prst="rect"/>
                  </pic:spPr>
                </pic:pic>
              </a:graphicData>
            </a:graphic>
          </wp:inline>
        </w:drawing>
      </w:r>
    </w:p>
    <w:p>
      <w:pPr>
        <w:jc w:val="center"/>
      </w:pPr>
      <w:r>
        <w:rPr>
          <w:i/>
          <w:sz w:val="18"/>
        </w:rPr>
        <w:t>图：强制改密开关为 false，未强制首次改密</w:t>
      </w:r>
    </w:p>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为避免对唯一管理员账号触发多次失败导致锁定，本次未进行错误口令登录以对比失败提示语句是否统一模糊。</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缺第二测试账号，为避免锁定唯一管理账号未做失败提示测试。</w:t>
            </w:r>
          </w:p>
        </w:tc>
      </w:tr>
    </w:tbl>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用户管理列表含“是否锁定”列且管理员具备账号锁定能力，说明具备锁定功能；但为避免对唯一管理员账号执行多次失败登录导致锁定，未实测“多次失败自动锁定并定时解锁”阈值与联动。</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锁定能力存在；为避免锁定唯一管理账号未做多次失败触发测试。</w:t>
            </w:r>
          </w:p>
        </w:tc>
      </w:tr>
    </w:tbl>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登录页密码输入框为 type=password，输入时以掩码（*）显示，未明文展示口令。</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7" name="Picture 7"/>
            <wp:cNvGraphicFramePr>
              <a:graphicFrameLocks noChangeAspect="1"/>
            </wp:cNvGraphicFramePr>
            <a:graphic>
              <a:graphicData uri="http://schemas.openxmlformats.org/drawingml/2006/picture">
                <pic:pic>
                  <pic:nvPicPr>
                    <pic:cNvPr id="0" name="fig_login.png"/>
                    <pic:cNvPicPr/>
                  </pic:nvPicPr>
                  <pic:blipFill>
                    <a:blip r:embed="rId13"/>
                    <a:stretch>
                      <a:fillRect/>
                    </a:stretch>
                  </pic:blipFill>
                  <pic:spPr>
                    <a:xfrm>
                      <a:off x="0" y="0"/>
                      <a:ext cx="4937760" cy="2777490"/>
                    </a:xfrm>
                    <a:prstGeom prst="rect"/>
                  </pic:spPr>
                </pic:pic>
              </a:graphicData>
            </a:graphic>
          </wp:inline>
        </w:drawing>
      </w:r>
    </w:p>
    <w:p>
      <w:pPr>
        <w:jc w:val="center"/>
      </w:pPr>
      <w:r>
        <w:rPr>
          <w:i/>
          <w:sz w:val="18"/>
        </w:rPr>
        <w:t>图：登录页口令输入框掩码显示</w:t>
      </w:r>
    </w:p>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实测使用长度仅为 1 位字符的口令即可成功登录管理员账号 xtadmin，表明系统未强制执行“长度不小于8位且含大小写字母、数字、特殊字符中至少三种”的强口令策略；平台虽有“伪强密码管理”模块，但对现有账号并未生效。</w:t>
            </w:r>
          </w:p>
        </w:tc>
      </w:tr>
      <w:tr>
        <w:tc>
          <w:tcPr>
            <w:tcW w:type="dxa" w:w="1872"/>
            <w:shd w:val="clear" w:fill="F2F2F2"/>
          </w:tcPr>
          <w:p>
            <w:r>
              <w:rPr>
                <w:b/>
              </w:rPr>
              <w:t>修复建议</w:t>
            </w:r>
          </w:p>
        </w:tc>
        <w:tc>
          <w:tcPr>
            <w:tcW w:type="dxa" w:w="7488"/>
          </w:tcPr>
          <w:p>
            <w:r>
              <w:t>强制实施强口令策略（长度≥8且至少三类字符），对存量弱口令账号强制改密，并启用伪强密码检测拦截常见弱口令。</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203018"/>
            <wp:docPr id="8" name="Picture 8"/>
            <wp:cNvGraphicFramePr>
              <a:graphicFrameLocks noChangeAspect="1"/>
            </wp:cNvGraphicFramePr>
            <a:graphic>
              <a:graphicData uri="http://schemas.openxmlformats.org/drawingml/2006/picture">
                <pic:pic>
                  <pic:nvPicPr>
                    <pic:cNvPr id="0" name="fig_weakpw.png"/>
                    <pic:cNvPicPr/>
                  </pic:nvPicPr>
                  <pic:blipFill>
                    <a:blip r:embed="rId12"/>
                    <a:stretch>
                      <a:fillRect/>
                    </a:stretch>
                  </pic:blipFill>
                  <pic:spPr>
                    <a:xfrm>
                      <a:off x="0" y="0"/>
                      <a:ext cx="4937760" cy="1203018"/>
                    </a:xfrm>
                    <a:prstGeom prst="rect"/>
                  </pic:spPr>
                </pic:pic>
              </a:graphicData>
            </a:graphic>
          </wp:inline>
        </w:drawing>
      </w:r>
    </w:p>
    <w:p>
      <w:pPr>
        <w:jc w:val="center"/>
      </w:pPr>
      <w:r>
        <w:rPr>
          <w:i/>
          <w:sz w:val="18"/>
        </w:rPr>
        <w:t>图：极短口令即可登录管理员账号，强口令策略未生效</w:t>
      </w:r>
    </w:p>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长期（半年）不登录账号是否自动锁定属需长期观测或后台策略核查的项目，本次短时黑/认证态测试无法验证。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需核查后台账号生命周期策略。</w:t>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认证态抓包显示大量 GET 请求 URL 查询串中直接携带用户标识 userId=1 以及会话 token=&lt;32位&gt;（如 pending.do、gettaglist.do、listAll.do），用户标识与会话标识在传输中显式暴露于 URL。</w:t>
            </w:r>
          </w:p>
        </w:tc>
      </w:tr>
      <w:tr>
        <w:tc>
          <w:tcPr>
            <w:tcW w:type="dxa" w:w="1872"/>
            <w:shd w:val="clear" w:fill="F2F2F2"/>
          </w:tcPr>
          <w:p>
            <w:r>
              <w:rPr>
                <w:b/>
              </w:rPr>
              <w:t>修复建议</w:t>
            </w:r>
          </w:p>
        </w:tc>
        <w:tc>
          <w:tcPr>
            <w:tcW w:type="dxa" w:w="7488"/>
          </w:tcPr>
          <w:p>
            <w:r>
              <w:t>用户标识/会话标识不应置于 URL 查询串，应通过 Cookie/Authorization 头交互，并在服务端将 userId 与会话令牌绑定校验，避免遍历/篡改。</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876349"/>
            <wp:docPr id="9" name="Picture 9"/>
            <wp:cNvGraphicFramePr>
              <a:graphicFrameLocks noChangeAspect="1"/>
            </wp:cNvGraphicFramePr>
            <a:graphic>
              <a:graphicData uri="http://schemas.openxmlformats.org/drawingml/2006/picture">
                <pic:pic>
                  <pic:nvPicPr>
                    <pic:cNvPr id="0" name="fig_login_payload.png"/>
                    <pic:cNvPicPr/>
                  </pic:nvPicPr>
                  <pic:blipFill>
                    <a:blip r:embed="rId11"/>
                    <a:stretch>
                      <a:fillRect/>
                    </a:stretch>
                  </pic:blipFill>
                  <pic:spPr>
                    <a:xfrm>
                      <a:off x="0" y="0"/>
                      <a:ext cx="4937760" cy="1876349"/>
                    </a:xfrm>
                    <a:prstGeom prst="rect"/>
                  </pic:spPr>
                </pic:pic>
              </a:graphicData>
            </a:graphic>
          </wp:inline>
        </w:drawing>
      </w:r>
    </w:p>
    <w:p>
      <w:pPr>
        <w:jc w:val="center"/>
      </w:pPr>
      <w:r>
        <w:rPr>
          <w:i/>
          <w:sz w:val="18"/>
        </w:rPr>
        <w:t>图：请求 URL 中携带 userId 与 token</w:t>
      </w:r>
    </w:p>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平台管理提供用户管理、租户管理、菜单管理、系统接入管理、用户风险分析等模块，具备账号赋权与角色区分（平台管理员/普通用户）；用户列表含“是否锁定”，管理员可冻结账号；并存在导航/操作日志记录（NavigationLogAdd.do），具备操作审计能力。</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验证了权限与锁定/审计能力的存在；因仅单一管理员账号，未逐一核对各角色最小权限划分。</w:t>
            </w:r>
          </w:p>
        </w:tc>
      </w:tr>
    </w:tbl>
    <w:p>
      <w:pPr>
        <w:jc w:val="center"/>
      </w:pPr>
      <w:r>
        <w:drawing>
          <wp:inline xmlns:a="http://schemas.openxmlformats.org/drawingml/2006/main" xmlns:pic="http://schemas.openxmlformats.org/drawingml/2006/picture">
            <wp:extent cx="4937760" cy="2777490"/>
            <wp:docPr id="10" name="Picture 10"/>
            <wp:cNvGraphicFramePr>
              <a:graphicFrameLocks noChangeAspect="1"/>
            </wp:cNvGraphicFramePr>
            <a:graphic>
              <a:graphicData uri="http://schemas.openxmlformats.org/drawingml/2006/picture">
                <pic:pic>
                  <pic:nvPicPr>
                    <pic:cNvPr id="0" name="fig_platform_menu.png"/>
                    <pic:cNvPicPr/>
                  </pic:nvPicPr>
                  <pic:blipFill>
                    <a:blip r:embed="rId14"/>
                    <a:stretch>
                      <a:fillRect/>
                    </a:stretch>
                  </pic:blipFill>
                  <pic:spPr>
                    <a:xfrm>
                      <a:off x="0" y="0"/>
                      <a:ext cx="4937760" cy="2777490"/>
                    </a:xfrm>
                    <a:prstGeom prst="rect"/>
                  </pic:spPr>
                </pic:pic>
              </a:graphicData>
            </a:graphic>
          </wp:inline>
        </w:drawing>
      </w:r>
    </w:p>
    <w:p>
      <w:pPr>
        <w:jc w:val="center"/>
      </w:pPr>
      <w:r>
        <w:rPr>
          <w:i/>
          <w:sz w:val="18"/>
        </w:rPr>
        <w:t>图：平台管理具备用户/权限/锁定/审计等管理能力</w:t>
      </w:r>
    </w:p>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系统应具备更严格的权限管理，防止出现越权问题</w:t>
            </w:r>
          </w:p>
        </w:tc>
      </w:tr>
      <w:tr>
        <w:tc>
          <w:tcPr>
            <w:tcW w:type="dxa" w:w="1872"/>
            <w:shd w:val="clear" w:fill="F2F2F2"/>
          </w:tcPr>
          <w:p>
            <w:r>
              <w:rPr>
                <w:b/>
              </w:rPr>
              <w:t>风险影响</w:t>
            </w:r>
          </w:p>
        </w:tc>
        <w:tc>
          <w:tcPr>
            <w:tcW w:type="dxa" w:w="7488"/>
          </w:tcPr>
          <w:p>
            <w:r>
              <w:t>存在未授权访问与越权操作风险，攻击者利用应用权限管理漏洞，提升账号权限、越权获取应用敏感数据，导致信息泄露。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用户仅提供单一管理员账号（xtadmin），缺少第二个不同权限账号作为对照，无法验证水平越权（同级用户间数据隔离）与垂直越权（低权限访问高权限功能）。已验证受保护接口在无有效鉴权时被拒绝（返回 Illegal user operation）。</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缺第二权限对照账号，越权项据实未测试。</w:t>
            </w:r>
          </w:p>
        </w:tc>
      </w:tr>
    </w:tbl>
    <w:p>
      <w:pPr>
        <w:jc w:val="center"/>
      </w:pPr>
      <w:r>
        <w:drawing>
          <wp:inline xmlns:a="http://schemas.openxmlformats.org/drawingml/2006/main" xmlns:pic="http://schemas.openxmlformats.org/drawingml/2006/picture">
            <wp:extent cx="4937760" cy="1741683"/>
            <wp:docPr id="11" name="Picture 11"/>
            <wp:cNvGraphicFramePr>
              <a:graphicFrameLocks noChangeAspect="1"/>
            </wp:cNvGraphicFramePr>
            <a:graphic>
              <a:graphicData uri="http://schemas.openxmlformats.org/drawingml/2006/picture">
                <pic:pic>
                  <pic:nvPicPr>
                    <pic:cNvPr id="0" name="fig_authz.png"/>
                    <pic:cNvPicPr/>
                  </pic:nvPicPr>
                  <pic:blipFill>
                    <a:blip r:embed="rId15"/>
                    <a:stretch>
                      <a:fillRect/>
                    </a:stretch>
                  </pic:blipFill>
                  <pic:spPr>
                    <a:xfrm>
                      <a:off x="0" y="0"/>
                      <a:ext cx="4937760" cy="1741683"/>
                    </a:xfrm>
                    <a:prstGeom prst="rect"/>
                  </pic:spPr>
                </pic:pic>
              </a:graphicData>
            </a:graphic>
          </wp:inline>
        </w:drawing>
      </w:r>
    </w:p>
    <w:p>
      <w:pPr>
        <w:jc w:val="center"/>
      </w:pPr>
      <w:r>
        <w:rPr>
          <w:i/>
          <w:sz w:val="18"/>
        </w:rPr>
        <w:t>图：受保护接口无鉴权时被拒绝；缺对照账号无法测越权</w:t>
      </w:r>
    </w:p>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浏览器与 CDP 实测显示身份标识 Cookie user-code（长度约 64 字符）同时缺失 HttpOnly 与 Secure 标识（httpOnly=false、secure=false），JavaScript 可读取且允许经非加密连接发送，存在被 XSS 窃取及明文传输的风险。此外服务端下发的 Set-Cookie 为畸形（Path=/; HttpOnly; Secure，缺少 name=value）。</w:t>
            </w:r>
          </w:p>
        </w:tc>
      </w:tr>
      <w:tr>
        <w:tc>
          <w:tcPr>
            <w:tcW w:type="dxa" w:w="1872"/>
            <w:shd w:val="clear" w:fill="F2F2F2"/>
          </w:tcPr>
          <w:p>
            <w:r>
              <w:rPr>
                <w:b/>
              </w:rPr>
              <w:t>修复建议</w:t>
            </w:r>
          </w:p>
        </w:tc>
        <w:tc>
          <w:tcPr>
            <w:tcW w:type="dxa" w:w="7488"/>
          </w:tcPr>
          <w:p>
            <w:r>
              <w:t>为承载身份/会话的 Cookie 同时设置 HttpOnly 与 Secure（并建议 SameSite=Strict/Lax），修正畸形 Set-Cookie 头。</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337684"/>
            <wp:docPr id="12" name="Picture 12"/>
            <wp:cNvGraphicFramePr>
              <a:graphicFrameLocks noChangeAspect="1"/>
            </wp:cNvGraphicFramePr>
            <a:graphic>
              <a:graphicData uri="http://schemas.openxmlformats.org/drawingml/2006/picture">
                <pic:pic>
                  <pic:nvPicPr>
                    <pic:cNvPr id="0" name="fig_cookie.png"/>
                    <pic:cNvPicPr/>
                  </pic:nvPicPr>
                  <pic:blipFill>
                    <a:blip r:embed="rId16"/>
                    <a:stretch>
                      <a:fillRect/>
                    </a:stretch>
                  </pic:blipFill>
                  <pic:spPr>
                    <a:xfrm>
                      <a:off x="0" y="0"/>
                      <a:ext cx="4937760" cy="1337684"/>
                    </a:xfrm>
                    <a:prstGeom prst="rect"/>
                  </pic:spPr>
                </pic:pic>
              </a:graphicData>
            </a:graphic>
          </wp:inline>
        </w:drawing>
      </w:r>
    </w:p>
    <w:p>
      <w:pPr>
        <w:jc w:val="center"/>
      </w:pPr>
      <w:r>
        <w:rPr>
          <w:i/>
          <w:sz w:val="18"/>
        </w:rPr>
        <w:t>图：user-code Cookie 缺 HttpOnly/Secure</w:t>
      </w:r>
    </w:p>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对网关接口发送任意 Origin（https://evil.example.com）时，响应返回 access-control-allow-origin: *，同时 access-control-allow-credentials: true，并 allow-methods:*、expose-headers:*。通配 * 与允许携带凭据同时开启属 CORS 配置不当。</w:t>
            </w:r>
          </w:p>
        </w:tc>
      </w:tr>
      <w:tr>
        <w:tc>
          <w:tcPr>
            <w:tcW w:type="dxa" w:w="1872"/>
            <w:shd w:val="clear" w:fill="F2F2F2"/>
          </w:tcPr>
          <w:p>
            <w:r>
              <w:rPr>
                <w:b/>
              </w:rPr>
              <w:t>修复建议</w:t>
            </w:r>
          </w:p>
        </w:tc>
        <w:tc>
          <w:tcPr>
            <w:tcW w:type="dxa" w:w="7488"/>
          </w:tcPr>
          <w:p>
            <w:r>
              <w:t>关闭非必要 CORS；使用来源白名单精确校验 Origin，避免使用通配符 *；如无携带凭据必要，将 Access-Control-Allow-Credentials 设为 false。</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549680"/>
            <wp:docPr id="13" name="Picture 13"/>
            <wp:cNvGraphicFramePr>
              <a:graphicFrameLocks noChangeAspect="1"/>
            </wp:cNvGraphicFramePr>
            <a:graphic>
              <a:graphicData uri="http://schemas.openxmlformats.org/drawingml/2006/picture">
                <pic:pic>
                  <pic:nvPicPr>
                    <pic:cNvPr id="0" name="fig_headers.png"/>
                    <pic:cNvPicPr/>
                  </pic:nvPicPr>
                  <pic:blipFill>
                    <a:blip r:embed="rId10"/>
                    <a:stretch>
                      <a:fillRect/>
                    </a:stretch>
                  </pic:blipFill>
                  <pic:spPr>
                    <a:xfrm>
                      <a:off x="0" y="0"/>
                      <a:ext cx="4937760" cy="2549680"/>
                    </a:xfrm>
                    <a:prstGeom prst="rect"/>
                  </pic:spPr>
                </pic:pic>
              </a:graphicData>
            </a:graphic>
          </wp:inline>
        </w:drawing>
      </w:r>
    </w:p>
    <w:p>
      <w:pPr>
        <w:jc w:val="center"/>
      </w:pPr>
      <w:r>
        <w:rPr>
          <w:i/>
          <w:sz w:val="18"/>
        </w:rPr>
        <w:t>图：CORS 返回 ACAO:* 且 allow-credentials:true</w:t>
      </w:r>
    </w:p>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认证态点击“注销”并确认后，页面跳转回登录页（/mpcloud/login），会话结束并需重新完整登录方可再次访问受保护功能，登出触发了会话终止。</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观察到登出后强制重新登录；未单独重放旧令牌验证服务端立即失效。</w:t>
            </w:r>
          </w:p>
        </w:tc>
      </w:tr>
    </w:tbl>
    <w:p>
      <w:pPr>
        <w:jc w:val="center"/>
      </w:pPr>
      <w:r>
        <w:drawing>
          <wp:inline xmlns:a="http://schemas.openxmlformats.org/drawingml/2006/main" xmlns:pic="http://schemas.openxmlformats.org/drawingml/2006/picture">
            <wp:extent cx="4937760" cy="2777490"/>
            <wp:docPr id="14" name="Picture 14"/>
            <wp:cNvGraphicFramePr>
              <a:graphicFrameLocks noChangeAspect="1"/>
            </wp:cNvGraphicFramePr>
            <a:graphic>
              <a:graphicData uri="http://schemas.openxmlformats.org/drawingml/2006/picture">
                <pic:pic>
                  <pic:nvPicPr>
                    <pic:cNvPr id="0" name="fig_login.png"/>
                    <pic:cNvPicPr/>
                  </pic:nvPicPr>
                  <pic:blipFill>
                    <a:blip r:embed="rId13"/>
                    <a:stretch>
                      <a:fillRect/>
                    </a:stretch>
                  </pic:blipFill>
                  <pic:spPr>
                    <a:xfrm>
                      <a:off x="0" y="0"/>
                      <a:ext cx="4937760" cy="2777490"/>
                    </a:xfrm>
                    <a:prstGeom prst="rect"/>
                  </pic:spPr>
                </pic:pic>
              </a:graphicData>
            </a:graphic>
          </wp:inline>
        </w:drawing>
      </w:r>
    </w:p>
    <w:p>
      <w:pPr>
        <w:jc w:val="center"/>
      </w:pPr>
      <w:r>
        <w:rPr>
          <w:i/>
          <w:sz w:val="18"/>
        </w:rPr>
        <w:t>图：注销后跳转登录页需重新认证</w:t>
      </w:r>
    </w:p>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sysconfig.do 返回 timeout=500000（单位未明确标注），本次未通过长时间挂起会话实测空闲超时的实际生效时长与销毁行为。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已记录配置观测值，未实测实际空闲超时行为。</w:t>
            </w:r>
          </w:p>
        </w:tc>
      </w:tr>
    </w:tbl>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登录成功后由服务端下发会话令牌（32 位十六进制 token 及 Authorization 令牌），令牌在服务端创建、具有较高随机性，非客户端生成。</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未对令牌熵值做大样本统计学评估。</w:t>
            </w:r>
          </w:p>
        </w:tc>
      </w:tr>
    </w:tbl>
    <w:p>
      <w:pPr>
        <w:jc w:val="center"/>
      </w:pPr>
      <w:r>
        <w:drawing>
          <wp:inline xmlns:a="http://schemas.openxmlformats.org/drawingml/2006/main" xmlns:pic="http://schemas.openxmlformats.org/drawingml/2006/picture">
            <wp:extent cx="4937760" cy="1876349"/>
            <wp:docPr id="15" name="Picture 15"/>
            <wp:cNvGraphicFramePr>
              <a:graphicFrameLocks noChangeAspect="1"/>
            </wp:cNvGraphicFramePr>
            <a:graphic>
              <a:graphicData uri="http://schemas.openxmlformats.org/drawingml/2006/picture">
                <pic:pic>
                  <pic:nvPicPr>
                    <pic:cNvPr id="0" name="fig_login_payload.png"/>
                    <pic:cNvPicPr/>
                  </pic:nvPicPr>
                  <pic:blipFill>
                    <a:blip r:embed="rId11"/>
                    <a:stretch>
                      <a:fillRect/>
                    </a:stretch>
                  </pic:blipFill>
                  <pic:spPr>
                    <a:xfrm>
                      <a:off x="0" y="0"/>
                      <a:ext cx="4937760" cy="1876349"/>
                    </a:xfrm>
                    <a:prstGeom prst="rect"/>
                  </pic:spPr>
                </pic:pic>
              </a:graphicData>
            </a:graphic>
          </wp:inline>
        </w:drawing>
      </w:r>
    </w:p>
    <w:p>
      <w:pPr>
        <w:jc w:val="center"/>
      </w:pPr>
      <w:r>
        <w:rPr>
          <w:i/>
          <w:sz w:val="18"/>
        </w:rPr>
        <w:t>图：登录后服务端下发随机会话令牌</w:t>
      </w:r>
    </w:p>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认证前无有效会话令牌，认证成功后由服务端新签发会话令牌（登出再登录后令牌变化），身份变更时生成新令牌，未见沿用固定的预置会话标识，会话固定风险较低。</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876349"/>
            <wp:docPr id="16" name="Picture 16"/>
            <wp:cNvGraphicFramePr>
              <a:graphicFrameLocks noChangeAspect="1"/>
            </wp:cNvGraphicFramePr>
            <a:graphic>
              <a:graphicData uri="http://schemas.openxmlformats.org/drawingml/2006/picture">
                <pic:pic>
                  <pic:nvPicPr>
                    <pic:cNvPr id="0" name="fig_login_payload.png"/>
                    <pic:cNvPicPr/>
                  </pic:nvPicPr>
                  <pic:blipFill>
                    <a:blip r:embed="rId11"/>
                    <a:stretch>
                      <a:fillRect/>
                    </a:stretch>
                  </pic:blipFill>
                  <pic:spPr>
                    <a:xfrm>
                      <a:off x="0" y="0"/>
                      <a:ext cx="4937760" cy="1876349"/>
                    </a:xfrm>
                    <a:prstGeom prst="rect"/>
                  </pic:spPr>
                </pic:pic>
              </a:graphicData>
            </a:graphic>
          </wp:inline>
        </w:drawing>
      </w:r>
    </w:p>
    <w:p>
      <w:pPr>
        <w:jc w:val="center"/>
      </w:pPr>
      <w:r>
        <w:rPr>
          <w:i/>
          <w:sz w:val="18"/>
        </w:rPr>
        <w:t>图：认证后服务端新签发会话令牌</w:t>
      </w:r>
    </w:p>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未认证接口 sysconfig.do 直接向客户端下发前端主密钥 mpk（已脱敏），前端配置文件亦下发内网回跳地址与租户标识，密钥/敏感配置在登录前即暴露给任意访问者。</w:t>
            </w:r>
          </w:p>
        </w:tc>
      </w:tr>
      <w:tr>
        <w:tc>
          <w:tcPr>
            <w:tcW w:type="dxa" w:w="1872"/>
            <w:shd w:val="clear" w:fill="F2F2F2"/>
          </w:tcPr>
          <w:p>
            <w:r>
              <w:rPr>
                <w:b/>
              </w:rPr>
              <w:t>修复建议</w:t>
            </w:r>
          </w:p>
        </w:tc>
        <w:tc>
          <w:tcPr>
            <w:tcW w:type="dxa" w:w="7488"/>
          </w:tcPr>
          <w:p>
            <w:r>
              <w:t>禁止在未认证响应或前端代码中下发对称主密钥，采用不暴露密钥的加密方案，密钥仅在服务端安全存储/环境变量调用。</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741683"/>
            <wp:docPr id="17" name="Picture 17"/>
            <wp:cNvGraphicFramePr>
              <a:graphicFrameLocks noChangeAspect="1"/>
            </wp:cNvGraphicFramePr>
            <a:graphic>
              <a:graphicData uri="http://schemas.openxmlformats.org/drawingml/2006/picture">
                <pic:pic>
                  <pic:nvPicPr>
                    <pic:cNvPr id="0" name="fig_sysconfig.png"/>
                    <pic:cNvPicPr/>
                  </pic:nvPicPr>
                  <pic:blipFill>
                    <a:blip r:embed="rId9"/>
                    <a:stretch>
                      <a:fillRect/>
                    </a:stretch>
                  </pic:blipFill>
                  <pic:spPr>
                    <a:xfrm>
                      <a:off x="0" y="0"/>
                      <a:ext cx="4937760" cy="1741683"/>
                    </a:xfrm>
                    <a:prstGeom prst="rect"/>
                  </pic:spPr>
                </pic:pic>
              </a:graphicData>
            </a:graphic>
          </wp:inline>
        </w:drawing>
      </w:r>
    </w:p>
    <w:p>
      <w:pPr>
        <w:jc w:val="center"/>
      </w:pPr>
      <w:r>
        <w:rPr>
          <w:i/>
          <w:sz w:val="18"/>
        </w:rPr>
        <w:t>图：未认证接口下发前端主密钥（已脱敏）</w:t>
      </w:r>
    </w:p>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本次测试范围内未发现使用云 AK/SK（Access Key/Secret Key）进行功能调用的场景，故 AK/SK 最小权限与调用日志专项不适用。</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如后端存在云 AK/SK 调用，建议单独核查权限与日志。</w:t>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对无效/未授权请求，网关统一返回精简 JSON 错误（如 {"result":"...","msg":"Illegal user operation"}），未输出中间件/框架堆栈、SQL、文件路径等详细错误信息。</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741683"/>
            <wp:docPr id="18" name="Picture 18"/>
            <wp:cNvGraphicFramePr>
              <a:graphicFrameLocks noChangeAspect="1"/>
            </wp:cNvGraphicFramePr>
            <a:graphic>
              <a:graphicData uri="http://schemas.openxmlformats.org/drawingml/2006/picture">
                <pic:pic>
                  <pic:nvPicPr>
                    <pic:cNvPr id="0" name="fig_authz.png"/>
                    <pic:cNvPicPr/>
                  </pic:nvPicPr>
                  <pic:blipFill>
                    <a:blip r:embed="rId15"/>
                    <a:stretch>
                      <a:fillRect/>
                    </a:stretch>
                  </pic:blipFill>
                  <pic:spPr>
                    <a:xfrm>
                      <a:off x="0" y="0"/>
                      <a:ext cx="4937760" cy="1741683"/>
                    </a:xfrm>
                    <a:prstGeom prst="rect"/>
                  </pic:spPr>
                </pic:pic>
              </a:graphicData>
            </a:graphic>
          </wp:inline>
        </w:drawing>
      </w:r>
    </w:p>
    <w:p>
      <w:pPr>
        <w:jc w:val="center"/>
      </w:pPr>
      <w:r>
        <w:rPr>
          <w:i/>
          <w:sz w:val="18"/>
        </w:rPr>
        <w:t>图：错误响应为统一精简 JSON，无堆栈泄露</w:t>
      </w:r>
    </w:p>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平台存在“附件管理”及用户管理“添加/导出”等功能，但为避免向生产/测试环境写入文件或产生数据，未实际执行文件上传以验证后缀白名单、服务端校验、脚本解析、竞争上传等。</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低影响原则，未执行上传写入操作。</w:t>
            </w:r>
          </w:p>
        </w:tc>
      </w:tr>
    </w:tbl>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存在“导出/附件管理”等下载相关功能，但未实测未授权下载、越权读取或目录穿越等下载权限设计问题（避免下载真实业务数据）。</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为避免下载真实数据未做下载越权测试。</w:t>
            </w:r>
          </w:p>
        </w:tc>
      </w:tr>
    </w:tbl>
    <w:p/>
    <w:p>
      <w:pPr>
        <w:pStyle w:val="Heading3"/>
      </w:pPr>
      <w:r>
        <w:t>多线程条件竞争安全测试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多线程条件竞争安全测试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未针对具体业务功能开展多线程条件竞争测试（需明确的业务下单/兑换等场景且属高影响操作）。</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缺明确业务场景且属高影响，未测试。</w:t>
            </w:r>
          </w:p>
        </w:tc>
      </w:tr>
    </w:tbl>
    <w:p/>
    <w:p>
      <w:pPr>
        <w:pStyle w:val="Heading3"/>
      </w:pPr>
      <w:r>
        <w:t>重要数据类型验证安全测试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未对业务关键参数做空值/负数/超大数/类型篡改等数据类型验证测试（需具体业务表单且属可能影响数据的操作）。</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缺具体业务表单场景，且为避免影响数据未测试。</w:t>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未对具体业务流程（如审批流）开展非预期顺序执行测试（需业务数据与流程实例，属可能影响业务的操作）。</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缺业务流程实例，未测试。</w:t>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认证态抓包可见系统主动调用审计接口 /gateway/allinoneservice/mp/log/NavigationLogAdd.do 记录用户导航/操作行为，具备安全审计日志记录功能。</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已确认存在操作日志记录；日志不可篡改/删除性与统计查询功能未深入核查。</w:t>
            </w:r>
          </w:p>
        </w:tc>
      </w:tr>
    </w:tbl>
    <w:p>
      <w:pPr>
        <w:jc w:val="center"/>
      </w:pPr>
      <w:r>
        <w:drawing>
          <wp:inline xmlns:a="http://schemas.openxmlformats.org/drawingml/2006/main" xmlns:pic="http://schemas.openxmlformats.org/drawingml/2006/picture">
            <wp:extent cx="4937760" cy="1876349"/>
            <wp:docPr id="19" name="Picture 19"/>
            <wp:cNvGraphicFramePr>
              <a:graphicFrameLocks noChangeAspect="1"/>
            </wp:cNvGraphicFramePr>
            <a:graphic>
              <a:graphicData uri="http://schemas.openxmlformats.org/drawingml/2006/picture">
                <pic:pic>
                  <pic:nvPicPr>
                    <pic:cNvPr id="0" name="fig_login_payload.png"/>
                    <pic:cNvPicPr/>
                  </pic:nvPicPr>
                  <pic:blipFill>
                    <a:blip r:embed="rId11"/>
                    <a:stretch>
                      <a:fillRect/>
                    </a:stretch>
                  </pic:blipFill>
                  <pic:spPr>
                    <a:xfrm>
                      <a:off x="0" y="0"/>
                      <a:ext cx="4937760" cy="1876349"/>
                    </a:xfrm>
                    <a:prstGeom prst="rect"/>
                  </pic:spPr>
                </pic:pic>
              </a:graphicData>
            </a:graphic>
          </wp:inline>
        </w:drawing>
      </w:r>
    </w:p>
    <w:p>
      <w:pPr>
        <w:jc w:val="center"/>
      </w:pPr>
      <w:r>
        <w:rPr>
          <w:i/>
          <w:sz w:val="18"/>
        </w:rPr>
        <w:t>图：系统调用 NavigationLogAdd.do 记录操作日志</w:t>
      </w:r>
    </w:p>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虽观察到操作日志记录接口，但未进入日志查看模块核对日志内容是否完整包含登录/登出/失败结果、操作账号、源 IP、访问接口、操作动作等字段。</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未核查日志内容字段完整性。</w:t>
            </w:r>
          </w:p>
        </w:tc>
      </w:tr>
    </w:tbl>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审计日志留存时长（≥6 个月）属后台/运维策略，本次测试无法验证。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需核查日志留存策略。</w:t>
            </w:r>
          </w:p>
        </w:tc>
      </w:tr>
    </w:tbl>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全站强制 HTTPS 且启用 HSTS（max-age=31536000）；TLS 实测协商 TLS 1.2 + ECDHE-RSA-CHACHA20-POLY1305（具备前向保密）；登录凭据经客户端加密后再传输（reuestParas 密文），敏感数据传输具备加密保护。</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337684"/>
            <wp:docPr id="20" name="Picture 20"/>
            <wp:cNvGraphicFramePr>
              <a:graphicFrameLocks noChangeAspect="1"/>
            </wp:cNvGraphicFramePr>
            <a:graphic>
              <a:graphicData uri="http://schemas.openxmlformats.org/drawingml/2006/picture">
                <pic:pic>
                  <pic:nvPicPr>
                    <pic:cNvPr id="0" name="fig_tls.png"/>
                    <pic:cNvPicPr/>
                  </pic:nvPicPr>
                  <pic:blipFill>
                    <a:blip r:embed="rId17"/>
                    <a:stretch>
                      <a:fillRect/>
                    </a:stretch>
                  </pic:blipFill>
                  <pic:spPr>
                    <a:xfrm>
                      <a:off x="0" y="0"/>
                      <a:ext cx="4937760" cy="1337684"/>
                    </a:xfrm>
                    <a:prstGeom prst="rect"/>
                  </pic:spPr>
                </pic:pic>
              </a:graphicData>
            </a:graphic>
          </wp:inline>
        </w:drawing>
      </w:r>
    </w:p>
    <w:p>
      <w:pPr>
        <w:jc w:val="center"/>
      </w:pPr>
      <w:r>
        <w:rPr>
          <w:i/>
          <w:sz w:val="18"/>
        </w:rPr>
        <w:t>图：HTTPS/HSTS + TLS1.2 强套件 + 登录凭据加密</w:t>
      </w:r>
    </w:p>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本次认证态未获取到含个人敏感信息（身份证号、银行卡、VIN 等）的业务数据页面（用户列表加载失败、待办无数据），无法评估页面敏感信息默认脱敏展示情况。</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未取得含敏感字段的数据页面。</w:t>
            </w:r>
          </w:p>
        </w:tc>
      </w:tr>
    </w:tbl>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用户管理等模块存在“导出”功能，但未实测导出是否走审批、是否记录日志、导出个人信息是否加密（避免导出真实数据）。</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为避免导出真实数据未做导出安全测试。</w:t>
            </w:r>
          </w:p>
        </w:tc>
      </w:tr>
    </w:tbl>
    <w:p/>
    <w:p>
      <w:pPr>
        <w:pStyle w:val="Heading2"/>
      </w:pPr>
      <w:r>
        <w:t>常见漏洞</w:t>
      </w:r>
    </w:p>
    <w:p>
      <w:pPr>
        <w:pStyle w:val="Heading3"/>
      </w:pPr>
      <w:r>
        <w:t>HTTPS协议安全测试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HTTPS协议安全测试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站点强制使用 HTTPS 并启用 HSTS；OpenSSL 实测协商 TLS 1.2 与强加密套件 ECDHE-RSA-CHACHA20-POLY1305（前向保密），证书为 DigiCert 签发的 *.dfcv.com.cn 且在有效期内。</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TLS1.0/1.1 因测试客户端构建限制未能主动协商，建议服务端侧确认已禁用。</w:t>
            </w:r>
          </w:p>
        </w:tc>
      </w:tr>
    </w:tbl>
    <w:p>
      <w:pPr>
        <w:jc w:val="center"/>
      </w:pPr>
      <w:r>
        <w:drawing>
          <wp:inline xmlns:a="http://schemas.openxmlformats.org/drawingml/2006/main" xmlns:pic="http://schemas.openxmlformats.org/drawingml/2006/picture">
            <wp:extent cx="4937760" cy="1337684"/>
            <wp:docPr id="21" name="Picture 21"/>
            <wp:cNvGraphicFramePr>
              <a:graphicFrameLocks noChangeAspect="1"/>
            </wp:cNvGraphicFramePr>
            <a:graphic>
              <a:graphicData uri="http://schemas.openxmlformats.org/drawingml/2006/picture">
                <pic:pic>
                  <pic:nvPicPr>
                    <pic:cNvPr id="0" name="fig_tls.png"/>
                    <pic:cNvPicPr/>
                  </pic:nvPicPr>
                  <pic:blipFill>
                    <a:blip r:embed="rId17"/>
                    <a:stretch>
                      <a:fillRect/>
                    </a:stretch>
                  </pic:blipFill>
                  <pic:spPr>
                    <a:xfrm>
                      <a:off x="0" y="0"/>
                      <a:ext cx="4937760" cy="1337684"/>
                    </a:xfrm>
                    <a:prstGeom prst="rect"/>
                  </pic:spPr>
                </pic:pic>
              </a:graphicData>
            </a:graphic>
          </wp:inline>
        </w:drawing>
      </w:r>
    </w:p>
    <w:p>
      <w:pPr>
        <w:jc w:val="center"/>
      </w:pPr>
      <w:r>
        <w:rPr>
          <w:i/>
          <w:sz w:val="18"/>
        </w:rPr>
        <w:t>图：TLS1.2 强套件，证书有效</w:t>
      </w:r>
    </w:p>
    <w:p/>
    <w:p>
      <w:pPr>
        <w:pStyle w:val="Heading3"/>
      </w:pPr>
      <w:r>
        <w:t>HTTP请求方法安全测试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HTTP请求方法安全测试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对根路径实测 OPTIONS/TRACE/PUT/DELETE 均返回 405 Method Not Allowed，危险 HTTP 方法（PUT/DELETE/TRACE）已禁用。</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549680"/>
            <wp:docPr id="22" name="Picture 22"/>
            <wp:cNvGraphicFramePr>
              <a:graphicFrameLocks noChangeAspect="1"/>
            </wp:cNvGraphicFramePr>
            <a:graphic>
              <a:graphicData uri="http://schemas.openxmlformats.org/drawingml/2006/picture">
                <pic:pic>
                  <pic:nvPicPr>
                    <pic:cNvPr id="0" name="fig_headers.png"/>
                    <pic:cNvPicPr/>
                  </pic:nvPicPr>
                  <pic:blipFill>
                    <a:blip r:embed="rId10"/>
                    <a:stretch>
                      <a:fillRect/>
                    </a:stretch>
                  </pic:blipFill>
                  <pic:spPr>
                    <a:xfrm>
                      <a:off x="0" y="0"/>
                      <a:ext cx="4937760" cy="2549680"/>
                    </a:xfrm>
                    <a:prstGeom prst="rect"/>
                  </pic:spPr>
                </pic:pic>
              </a:graphicData>
            </a:graphic>
          </wp:inline>
        </w:drawing>
      </w:r>
    </w:p>
    <w:p>
      <w:pPr>
        <w:jc w:val="center"/>
      </w:pPr>
      <w:r>
        <w:rPr>
          <w:i/>
          <w:sz w:val="18"/>
        </w:rPr>
        <w:t>图：PUT/DELETE/TRACE 均返回 405</w:t>
      </w:r>
    </w:p>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实测管理员账号 xtadmin 使用长度仅 1 位字符的极弱口令即可成功登录，存在严重弱口令风险，攻击者极易猜测/爆破获取管理员权限。</w:t>
            </w:r>
          </w:p>
        </w:tc>
      </w:tr>
      <w:tr>
        <w:tc>
          <w:tcPr>
            <w:tcW w:type="dxa" w:w="1872"/>
            <w:shd w:val="clear" w:fill="F2F2F2"/>
          </w:tcPr>
          <w:p>
            <w:r>
              <w:rPr>
                <w:b/>
              </w:rPr>
              <w:t>修复建议</w:t>
            </w:r>
          </w:p>
        </w:tc>
        <w:tc>
          <w:tcPr>
            <w:tcW w:type="dxa" w:w="7488"/>
          </w:tcPr>
          <w:p>
            <w:r>
              <w:t>立即为该管理员账号设置符合强口令策略（长度≥8且含至少三类字符）的口令，全局强制强口令并启用登录失败锁定与验证码，排查其他弱口令账号。</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203018"/>
            <wp:docPr id="23" name="Picture 23"/>
            <wp:cNvGraphicFramePr>
              <a:graphicFrameLocks noChangeAspect="1"/>
            </wp:cNvGraphicFramePr>
            <a:graphic>
              <a:graphicData uri="http://schemas.openxmlformats.org/drawingml/2006/picture">
                <pic:pic>
                  <pic:nvPicPr>
                    <pic:cNvPr id="0" name="fig_weakpw.png"/>
                    <pic:cNvPicPr/>
                  </pic:nvPicPr>
                  <pic:blipFill>
                    <a:blip r:embed="rId12"/>
                    <a:stretch>
                      <a:fillRect/>
                    </a:stretch>
                  </pic:blipFill>
                  <pic:spPr>
                    <a:xfrm>
                      <a:off x="0" y="0"/>
                      <a:ext cx="4937760" cy="1203018"/>
                    </a:xfrm>
                    <a:prstGeom prst="rect"/>
                  </pic:spPr>
                </pic:pic>
              </a:graphicData>
            </a:graphic>
          </wp:inline>
        </w:drawing>
      </w:r>
    </w:p>
    <w:p>
      <w:pPr>
        <w:jc w:val="center"/>
      </w:pPr>
      <w:r>
        <w:rPr>
          <w:i/>
          <w:sz w:val="18"/>
        </w:rPr>
        <w:t>图：极弱口令登录管理员账号成功</w:t>
      </w:r>
    </w:p>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本次未对输入点开展 XSS 注入测试（认证态可注入的业务输入点有限且未获取到数据页面）。需注意 user-code Cookie 缺失 HttpOnly，一旦存在 XSS 将放大会话窃取风险。</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未做 XSS 注入；建议后续结合业务输入点专项测试。</w:t>
            </w:r>
          </w:p>
        </w:tc>
      </w:tr>
    </w:tbl>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未发现明确的 XML 上传/解析入口，且按授权边界不进行 XXE 外带利用，本项未测试。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无明确 XML 入口且禁止外带利用。</w:t>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状态变更类接口除 Cookie 外，均要求携带自定义请求头 Authorization、clientId、timestamp、noncestr 及 sign 签名，浏览器无法在跨站请求中自动附加这些自定义头与合法签名，CSRF 利用条件难以满足。</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基于鉴权机制判定；未逐一构造 CSRF PoC。</w:t>
            </w:r>
          </w:p>
        </w:tc>
      </w:tr>
    </w:tbl>
    <w:p>
      <w:pPr>
        <w:jc w:val="center"/>
      </w:pPr>
      <w:r>
        <w:drawing>
          <wp:inline xmlns:a="http://schemas.openxmlformats.org/drawingml/2006/main" xmlns:pic="http://schemas.openxmlformats.org/drawingml/2006/picture">
            <wp:extent cx="4937760" cy="1876349"/>
            <wp:docPr id="24" name="Picture 24"/>
            <wp:cNvGraphicFramePr>
              <a:graphicFrameLocks noChangeAspect="1"/>
            </wp:cNvGraphicFramePr>
            <a:graphic>
              <a:graphicData uri="http://schemas.openxmlformats.org/drawingml/2006/picture">
                <pic:pic>
                  <pic:nvPicPr>
                    <pic:cNvPr id="0" name="fig_login_payload.png"/>
                    <pic:cNvPicPr/>
                  </pic:nvPicPr>
                  <pic:blipFill>
                    <a:blip r:embed="rId11"/>
                    <a:stretch>
                      <a:fillRect/>
                    </a:stretch>
                  </pic:blipFill>
                  <pic:spPr>
                    <a:xfrm>
                      <a:off x="0" y="0"/>
                      <a:ext cx="4937760" cy="1876349"/>
                    </a:xfrm>
                    <a:prstGeom prst="rect"/>
                  </pic:spPr>
                </pic:pic>
              </a:graphicData>
            </a:graphic>
          </wp:inline>
        </w:drawing>
      </w:r>
    </w:p>
    <w:p>
      <w:pPr>
        <w:jc w:val="center"/>
      </w:pPr>
      <w:r>
        <w:rPr>
          <w:i/>
          <w:sz w:val="18"/>
        </w:rPr>
        <w:t>图：接口需自定义头+签名，天然缓解 CSRF</w:t>
      </w:r>
    </w:p>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按授权边界不进行 SSRF 外带/回连利用，且未定位到明确的服务端 URL 拉取入口，本项未测试。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禁止 SSRF 外带利用。</w:t>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按授权边界不进行破坏性 SQL 注入测试；且接口普遍要求签名校验，可注入面受限，本项未做注入验证。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禁止破坏性注入，未测试。</w:t>
            </w:r>
          </w:p>
        </w:tc>
      </w:tr>
    </w:tbl>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未发现明确的 LDAP 查询入口（adlogin=false），未开展 LDAP 注入测试。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无明确 LDAP 入口。</w:t>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未定位到基于路径/文件名参数的文件包含入口，未开展文件包含测试。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无明确文件包含入口。</w:t>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按授权边界不进行反序列化利用，且未定位到明确的反序列化入口，本项未测试。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禁止反序列化利用。</w:t>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按授权边界不进行远程命令执行利用，本项未测试。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禁止 RCE 利用。</w:t>
            </w:r>
          </w:p>
        </w:tc>
      </w:tr>
    </w:tbl>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审阅登录页与首页交付的 HTML/资源引用，均为应用自身的 mpcloud 资源，未发现指向外部博彩/推广等站点的隐藏链接（display:none/同色文字暗链）。</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结论限于本次审阅的登录页/首页；建议对全站页面定期巡检。</w:t>
            </w:r>
          </w:p>
        </w:tc>
      </w:tr>
    </w:tbl>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3、安全配置：遵循最佳安全实践，确保框架和中间件的配置是安全的，不要依赖默认配置。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已识别组件指纹（istio-envoy 网关、Vue/antd 前端、低代码平台 MP3.1 / app-version 1.2.21），但未获得各组件精确版本并与 CNVD/CVE 逐一比对，未能判定是否存在已知历史漏洞。</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缺精确版本与漏洞库比对，未下结论。</w:t>
            </w:r>
          </w:p>
        </w:tc>
      </w:tr>
    </w:tbl>
    <w:p>
      <w:pPr>
        <w:jc w:val="center"/>
      </w:pPr>
      <w:r>
        <w:drawing>
          <wp:inline xmlns:a="http://schemas.openxmlformats.org/drawingml/2006/main" xmlns:pic="http://schemas.openxmlformats.org/drawingml/2006/picture">
            <wp:extent cx="4937760" cy="2549680"/>
            <wp:docPr id="25" name="Picture 25"/>
            <wp:cNvGraphicFramePr>
              <a:graphicFrameLocks noChangeAspect="1"/>
            </wp:cNvGraphicFramePr>
            <a:graphic>
              <a:graphicData uri="http://schemas.openxmlformats.org/drawingml/2006/picture">
                <pic:pic>
                  <pic:nvPicPr>
                    <pic:cNvPr id="0" name="fig_headers.png"/>
                    <pic:cNvPicPr/>
                  </pic:nvPicPr>
                  <pic:blipFill>
                    <a:blip r:embed="rId10"/>
                    <a:stretch>
                      <a:fillRect/>
                    </a:stretch>
                  </pic:blipFill>
                  <pic:spPr>
                    <a:xfrm>
                      <a:off x="0" y="0"/>
                      <a:ext cx="4937760" cy="2549680"/>
                    </a:xfrm>
                    <a:prstGeom prst="rect"/>
                  </pic:spPr>
                </pic:pic>
              </a:graphicData>
            </a:graphic>
          </wp:inline>
        </w:drawing>
      </w:r>
    </w:p>
    <w:p>
      <w:pPr>
        <w:jc w:val="center"/>
      </w:pPr>
      <w:r>
        <w:rPr>
          <w:i/>
          <w:sz w:val="18"/>
        </w:rPr>
        <w:t>图：server=istio-envoy 等组件指纹</w:t>
      </w:r>
    </w:p>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探测 /actuator、/actuator/env、/v2/api-docs、/swagger-ui、/druid/ 等常见未授权组件路径，均命中 SPA 首页（15465 字节），非真实组件端点；受保护业务接口在无有效鉴权时统一返回 Illegal user operation。未发现 Actuator/Swagger/Druid 等未授权访问点。</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741683"/>
            <wp:docPr id="26" name="Picture 26"/>
            <wp:cNvGraphicFramePr>
              <a:graphicFrameLocks noChangeAspect="1"/>
            </wp:cNvGraphicFramePr>
            <a:graphic>
              <a:graphicData uri="http://schemas.openxmlformats.org/drawingml/2006/picture">
                <pic:pic>
                  <pic:nvPicPr>
                    <pic:cNvPr id="0" name="fig_authz.png"/>
                    <pic:cNvPicPr/>
                  </pic:nvPicPr>
                  <pic:blipFill>
                    <a:blip r:embed="rId15"/>
                    <a:stretch>
                      <a:fillRect/>
                    </a:stretch>
                  </pic:blipFill>
                  <pic:spPr>
                    <a:xfrm>
                      <a:off x="0" y="0"/>
                      <a:ext cx="4937760" cy="1741683"/>
                    </a:xfrm>
                    <a:prstGeom prst="rect"/>
                  </pic:spPr>
                </pic:pic>
              </a:graphicData>
            </a:graphic>
          </wp:inline>
        </w:drawing>
      </w:r>
    </w:p>
    <w:p>
      <w:pPr>
        <w:jc w:val="center"/>
      </w:pPr>
      <w:r>
        <w:rPr>
          <w:i/>
          <w:sz w:val="18"/>
        </w:rPr>
        <w:t>图：常见未授权组件路径均为首页回退，未真实暴露</w:t>
      </w:r>
    </w:p>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未认证即可获取敏感信息：sysconfig.do 下发前端主密钥 mpk（已脱敏）与系统标识，前端配置 index.js 下发内网回跳地址（172.26.**.**）与租户标识，页面注释暴露版本与构建时间，属敏感信息泄露。</w:t>
            </w:r>
          </w:p>
        </w:tc>
      </w:tr>
      <w:tr>
        <w:tc>
          <w:tcPr>
            <w:tcW w:type="dxa" w:w="1872"/>
            <w:shd w:val="clear" w:fill="F2F2F2"/>
          </w:tcPr>
          <w:p>
            <w:r>
              <w:rPr>
                <w:b/>
              </w:rPr>
              <w:t>修复建议</w:t>
            </w:r>
          </w:p>
        </w:tc>
        <w:tc>
          <w:tcPr>
            <w:tcW w:type="dxa" w:w="7488"/>
          </w:tcPr>
          <w:p>
            <w:r>
              <w:t>收敛未认证接口/前端配置的返回内容，移除内网地址、密钥、租户标识、版本与构建注释等敏感信息。</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1741683"/>
            <wp:docPr id="27" name="Picture 27"/>
            <wp:cNvGraphicFramePr>
              <a:graphicFrameLocks noChangeAspect="1"/>
            </wp:cNvGraphicFramePr>
            <a:graphic>
              <a:graphicData uri="http://schemas.openxmlformats.org/drawingml/2006/picture">
                <pic:pic>
                  <pic:nvPicPr>
                    <pic:cNvPr id="0" name="fig_sysconfig.png"/>
                    <pic:cNvPicPr/>
                  </pic:nvPicPr>
                  <pic:blipFill>
                    <a:blip r:embed="rId9"/>
                    <a:stretch>
                      <a:fillRect/>
                    </a:stretch>
                  </pic:blipFill>
                  <pic:spPr>
                    <a:xfrm>
                      <a:off x="0" y="0"/>
                      <a:ext cx="4937760" cy="1741683"/>
                    </a:xfrm>
                    <a:prstGeom prst="rect"/>
                  </pic:spPr>
                </pic:pic>
              </a:graphicData>
            </a:graphic>
          </wp:inline>
        </w:drawing>
      </w:r>
    </w:p>
    <w:p>
      <w:pPr>
        <w:jc w:val="center"/>
      </w:pPr>
      <w:r>
        <w:rPr>
          <w:i/>
          <w:sz w:val="18"/>
        </w:rPr>
        <w:t>图：未认证泄露主密钥/内网地址/租户ID</w:t>
      </w:r>
    </w:p>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未针对查询耗时、超大尺寸、登出处等做拒绝服务专项测试（避免对生产/测试环境造成资源压力）。</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为避免影响服务可用性未做 DoS 测试。</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