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Polarion ALM 应用生命周期管理平台</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初测</w:t>
      </w:r>
    </w:p>
    <w:p/>
    <w:p/>
    <w:p/>
    <w:p/>
    <w:p/>
    <w:p/>
    <w:p>
      <w:pPr>
        <w:jc w:val="center"/>
      </w:pPr>
      <w:r>
        <w:rPr>
          <w:rFonts w:ascii="微软雅黑" w:hAnsi="微软雅黑" w:eastAsia="微软雅黑"/>
          <w:b w:val="0"/>
          <w:sz w:val="26"/>
        </w:rPr>
        <w:t>委托单位：东风汽车股份有限公司</w:t>
      </w:r>
    </w:p>
    <w:p>
      <w:pPr>
        <w:jc w:val="center"/>
      </w:pPr>
      <w:r>
        <w:rPr>
          <w:rFonts w:ascii="微软雅黑" w:hAnsi="微软雅黑" w:eastAsia="微软雅黑"/>
          <w:b w:val="0"/>
          <w:sz w:val="26"/>
        </w:rPr>
        <w:t>测试人员：安全测试组</w:t>
      </w:r>
    </w:p>
    <w:p>
      <w:pPr>
        <w:jc w:val="center"/>
      </w:pPr>
      <w:r>
        <w:rPr>
          <w:rFonts w:ascii="微软雅黑" w:hAnsi="微软雅黑" w:eastAsia="微软雅黑"/>
          <w:b w:val="0"/>
          <w:sz w:val="26"/>
        </w:rPr>
        <w:t>测试日期：2026年08月10日</w:t>
      </w:r>
    </w:p>
    <w:p/>
    <w:p/>
    <w:p/>
    <w:p/>
    <w:p/>
    <w:p/>
    <w:p>
      <w:pPr>
        <w:jc w:val="center"/>
      </w:pPr>
      <w:r>
        <w:rPr>
          <w:rFonts w:ascii="微软雅黑" w:hAnsi="微软雅黑" w:eastAsia="微软雅黑"/>
          <w:b w:val="0"/>
          <w:sz w:val="24"/>
        </w:rPr>
        <w:t>安全测试组</w:t>
      </w:r>
    </w:p>
    <w:p>
      <w:r>
        <w:br w:type="page"/>
      </w:r>
    </w:p>
    <w:p>
      <w:pPr>
        <w:pStyle w:val="Heading1"/>
      </w:pPr>
      <w:r>
        <w:t>检测概述</w:t>
      </w:r>
    </w:p>
    <w:p>
      <w:pPr>
        <w:pStyle w:val="Heading2"/>
      </w:pPr>
      <w:r>
        <w:t>背景介绍</w:t>
      </w:r>
    </w:p>
    <w:p>
      <w:r>
        <w:rPr>
          <w:i w:val="0"/>
        </w:rPr>
        <w:t>随着国内外网络安全形势日益严峻，攻防不对等拉锯，网络攻击入侵门槛不断拉低，同时网络安全法的落地实施，国家监管层面不断加大信息系统安全监管及处罚力度。一旦信息系统应用软件存在安全漏洞、配置不规范或业务安全风险，易遭受到网络安全攻击，给应用系统的稳定运行、数据安全带来了极大的风险隐患，信息系统的安全已经成为了目前迫切亟待解决的问题。</w:t>
      </w:r>
    </w:p>
    <w:p>
      <w:r>
        <w:rPr>
          <w:i w:val="0"/>
        </w:rPr>
        <w:t>为进一步加强网络安全管理与数据安全保护，切实防范信息安全风险，依据国家（行业）标准和监管合规要求，对目标系统 http://172.23.131.184/polarion 开展应用安全检测，全面识别应用系统面临的安全风险隐患，包含业务安全风险，及时采取相应的技术措施进行安全防范和修复加固，降低攻击入侵，提升业务系统安全健壮性，保障业务系统安全运行。</w:t>
      </w:r>
    </w:p>
    <w:p>
      <w:pPr>
        <w:pStyle w:val="Heading2"/>
      </w:pPr>
      <w:r>
        <w:t>参考标准</w:t>
      </w:r>
    </w:p>
    <w:p>
      <w:r>
        <w:rPr>
          <w:i w:val="0"/>
        </w:rPr>
        <w:t>此检测报告引用以下标准与规范（版本于报告编制时经官方来源核对，均为现行有效版本，并结合被测对象所属行业选取相关项）：</w:t>
      </w:r>
    </w:p>
    <w:p>
      <w:pPr>
        <w:pStyle w:val="ListBullet"/>
      </w:pPr>
      <w:r>
        <w:t>《OWASP Web Security Testing Guide v4.2》</w:t>
      </w:r>
    </w:p>
    <w:p>
      <w:pPr>
        <w:pStyle w:val="ListBullet"/>
      </w:pPr>
      <w:r>
        <w:t>《OWASP Top 10:2025》</w:t>
      </w:r>
    </w:p>
    <w:p>
      <w:pPr>
        <w:pStyle w:val="ListBullet"/>
      </w:pPr>
      <w:r>
        <w:t>《PTES 渗透测试执行标准》</w:t>
      </w:r>
    </w:p>
    <w:p>
      <w:pPr>
        <w:pStyle w:val="ListBullet"/>
      </w:pPr>
      <w:r>
        <w:t>《ISO/IEC 27001:2022 信息安全管理体系》</w:t>
      </w:r>
    </w:p>
    <w:p>
      <w:pPr>
        <w:pStyle w:val="ListBullet"/>
      </w:pPr>
      <w:r>
        <w:t>《GB/T 22239-2019 信息安全技术 网络安全等级保护基本要求》</w:t>
      </w:r>
    </w:p>
    <w:p>
      <w:pPr>
        <w:pStyle w:val="ListBullet"/>
      </w:pPr>
      <w:r>
        <w:t>《GB/T 30279-2020 信息安全技术 网络安全漏洞分类分级指南》</w:t>
      </w:r>
    </w:p>
    <w:p>
      <w:pPr>
        <w:pStyle w:val="ListBullet"/>
      </w:pPr>
      <w:r>
        <w:t>《GB/T 30276-2020 信息安全技术 网络安全漏洞管理规范》</w:t>
      </w:r>
    </w:p>
    <w:p>
      <w:pPr>
        <w:pStyle w:val="ListBullet"/>
      </w:pPr>
      <w:r>
        <w:t>《中华人民共和国网络安全法》（2025 修正，2026-01-01 施行）</w:t>
      </w:r>
    </w:p>
    <w:p>
      <w:pPr>
        <w:pStyle w:val="ListBullet"/>
      </w:pPr>
      <w:r>
        <w:t>《中华人民共和国数据安全法》</w:t>
      </w:r>
    </w:p>
    <w:p>
      <w:pPr>
        <w:pStyle w:val="ListBullet"/>
      </w:pPr>
      <w:r>
        <w:t>《中华人民共和国个人信息保护法》</w:t>
      </w:r>
    </w:p>
    <w:p>
      <w:r>
        <w:rPr>
          <w:i/>
        </w:rPr>
        <w:t>注：上述标准每次执行检测前应重新核对是否有更新版本。</w:t>
      </w:r>
    </w:p>
    <w:p>
      <w:pPr>
        <w:pStyle w:val="Heading2"/>
      </w:pPr>
      <w:r>
        <w:t>适用说明</w:t>
      </w:r>
    </w:p>
    <w:p>
      <w:r>
        <w:rPr>
          <w:i w:val="0"/>
        </w:rPr>
        <w:t>针对软件应用（含移动服务端、C/S 服务端等）开展应用安全检测，本次被测对象为 Polarion ALM 应用生命周期管理平台，不涉及主机、配置等其他检测。</w:t>
      </w:r>
    </w:p>
    <w:p>
      <w:pPr>
        <w:pStyle w:val="Heading2"/>
      </w:pPr>
      <w:r>
        <w:t>工作原则</w:t>
      </w:r>
    </w:p>
    <w:p>
      <w:r>
        <w:rPr>
          <w:i w:val="0"/>
        </w:rPr>
        <w:t>开展安全检测应遵循的工作原则是：</w:t>
      </w:r>
    </w:p>
    <w:p>
      <w:r>
        <w:t>（1）规范性原则</w:t>
      </w:r>
    </w:p>
    <w:p>
      <w:r>
        <w:rPr>
          <w:i w:val="0"/>
        </w:rPr>
        <w:t>安全检测过程有统一的流程，安全检测中使用的方法及使用的文档，需要具有很好的规范性，便于安全检测工作的质量保证，并保证结果的一致性。</w:t>
      </w:r>
    </w:p>
    <w:p>
      <w:r>
        <w:t>（2）可控性原则</w:t>
      </w:r>
    </w:p>
    <w:p>
      <w:r>
        <w:rPr>
          <w:i w:val="0"/>
        </w:rPr>
        <w:t>安全检测所使用的工具、方法和过程要在双方认可的范围之内，安全检测的进度要符合进度表的安排，保证双方对安全检测的可控性。</w:t>
      </w:r>
    </w:p>
    <w:p>
      <w:r>
        <w:t>（3）整体性原则</w:t>
      </w:r>
    </w:p>
    <w:p>
      <w:r>
        <w:rPr>
          <w:i w:val="0"/>
        </w:rPr>
        <w:t>安全检测的范围和内容应当系统性、全面，覆盖信息系统安全所涉及的各个层面，并考虑各个层面的相互关系。</w:t>
      </w:r>
    </w:p>
    <w:p>
      <w:r>
        <w:t>（4）最小影响原则</w:t>
      </w:r>
    </w:p>
    <w:p>
      <w:r>
        <w:rPr>
          <w:i w:val="0"/>
        </w:rPr>
        <w:t>安全检测应尽可能较小的影响网络和系统的正常运行，不能对系统的业务产生显著影响，避免造成被测评系统的性能明显下降、网络拥塞、服务中断等；不删除或修改数据、不触发破坏性操作、不进行高强度爆破、不执行破坏性注入类测试。</w:t>
      </w:r>
    </w:p>
    <w:p>
      <w:r>
        <w:t>（5）保密性原则</w:t>
      </w:r>
    </w:p>
    <w:p>
      <w:r>
        <w:rPr>
          <w:i w:val="0"/>
        </w:rPr>
        <w:t>对在安全检测中所接触到的用户单位的所有敏感信息，检测人员应遵循相关的保密承诺，不利用相关信息进行任何侵害被检测单位安全利益的行为。本报告不含口令、完整 Cookie、令牌等敏感原文。</w:t>
      </w:r>
    </w:p>
    <w:p>
      <w:pPr>
        <w:pStyle w:val="Heading2"/>
      </w:pPr>
      <w:r>
        <w:t>检测内容</w:t>
      </w:r>
    </w:p>
    <w:p>
      <w:r>
        <w:rPr>
          <w:i w:val="0"/>
        </w:rPr>
        <w:t>该检测报告用于应用系统安全检测，可覆盖已上线前安全检测、上线后安全检测、安全评估、互联网安全检测等场景，包含端口安全、基线安全、前端安全、传输安全、身份鉴别、权限管理、会话安全、密钥安全、异常处理、业务安全、日志审计、数据安全、常见漏洞等 13 个大类，共计 55 项安全检测内容。</w:t>
      </w:r>
    </w:p>
    <w:p>
      <w:pPr>
        <w:pStyle w:val="Heading2"/>
      </w:pPr>
      <w:r>
        <w:t>检测工具</w:t>
      </w:r>
    </w:p>
    <w:p>
      <w:r>
        <w:rPr>
          <w:i w:val="0"/>
        </w:rPr>
        <w:t>安全检测工具清单如下（当前列举为本次实际使用的主要工具，结合不同应用类型和漏洞组件验证，会使用到其他检测工具）：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浏览器 + 开发者工具</w:t>
            </w:r>
          </w:p>
        </w:tc>
        <w:tc>
          <w:tcPr>
            <w:tcW w:type="dxa" w:w="2880"/>
          </w:tcPr>
          <w:p>
            <w:r>
              <w:t>手工检测</w:t>
            </w:r>
          </w:p>
        </w:tc>
        <w:tc>
          <w:tcPr>
            <w:tcW w:type="dxa" w:w="2880"/>
          </w:tcPr>
          <w:p>
            <w:r>
              <w:t>页面/JS/Cookie/请求响应观察取证</w:t>
            </w:r>
          </w:p>
        </w:tc>
      </w:tr>
      <w:tr>
        <w:tc>
          <w:tcPr>
            <w:tcW w:type="dxa" w:w="2880"/>
          </w:tcPr>
          <w:p>
            <w:r>
              <w:t>Python requests</w:t>
            </w:r>
          </w:p>
        </w:tc>
        <w:tc>
          <w:tcPr>
            <w:tcW w:type="dxa" w:w="2880"/>
          </w:tcPr>
          <w:p>
            <w:r>
              <w:t>手工检测</w:t>
            </w:r>
          </w:p>
        </w:tc>
        <w:tc>
          <w:tcPr>
            <w:tcW w:type="dxa" w:w="2880"/>
          </w:tcPr>
          <w:p>
            <w:r>
              <w:t>HTTP 请求构造、方法探测、响应差异比对</w:t>
            </w:r>
          </w:p>
        </w:tc>
      </w:tr>
      <w:tr>
        <w:tc>
          <w:tcPr>
            <w:tcW w:type="dxa" w:w="2880"/>
          </w:tcPr>
          <w:p>
            <w:r>
              <w:t>Playwright (CDP)</w:t>
            </w:r>
          </w:p>
        </w:tc>
        <w:tc>
          <w:tcPr>
            <w:tcW w:type="dxa" w:w="2880"/>
          </w:tcPr>
          <w:p>
            <w:r>
              <w:t>自动化取证</w:t>
            </w:r>
          </w:p>
        </w:tc>
        <w:tc>
          <w:tcPr>
            <w:tcW w:type="dxa" w:w="2880"/>
          </w:tcPr>
          <w:p>
            <w:r>
              <w:t>认证态页面渲染、会话与登出行为取证</w:t>
            </w:r>
          </w:p>
        </w:tc>
      </w:tr>
      <w:tr>
        <w:tc>
          <w:tcPr>
            <w:tcW w:type="dxa" w:w="2880"/>
          </w:tcPr>
          <w:p>
            <w:r>
              <w:t>本地反向代理</w:t>
            </w:r>
          </w:p>
        </w:tc>
        <w:tc>
          <w:tcPr>
            <w:tcW w:type="dxa" w:w="2880"/>
          </w:tcPr>
          <w:p>
            <w:r>
              <w:t>流量转发</w:t>
            </w:r>
          </w:p>
        </w:tc>
        <w:tc>
          <w:tcPr>
            <w:tcW w:type="dxa" w:w="2880"/>
          </w:tcPr>
          <w:p>
            <w:r>
              <w:t>经内网隧道还原 Host 与 Origin 的请求转发与响应观察</w:t>
            </w:r>
          </w:p>
        </w:tc>
      </w:tr>
    </w:tbl>
    <w:p>
      <w:pPr>
        <w:pStyle w:val="Heading2"/>
      </w:pPr>
      <w:r>
        <w:t>检测声明</w:t>
      </w:r>
    </w:p>
    <w:p>
      <w:r>
        <w:rPr>
          <w:i w:val="0"/>
        </w:rPr>
        <w:t>安全检测在应用系统上线前开展，如测试环境和生产环境一致，宜使用测试环境开展，如测试和生产差异较大，两套环境应同时开展检测，检测前应确保应用所有组件部署完成，并提供生产和测试环境所有资产信息。</w:t>
      </w:r>
    </w:p>
    <w:p>
      <w:r>
        <w:rPr>
          <w:i w:val="0"/>
        </w:rPr>
        <w:t>本报告为本次应用安全检测服务的输出结果，供业务方进行漏洞修补和安全加固参考，并进行安全风险规避，安全控制和管理。</w:t>
      </w:r>
    </w:p>
    <w:p>
      <w:r>
        <w:rPr>
          <w:i w:val="0"/>
        </w:rPr>
        <w:t>本报告的检测结论仅对被测对象当时的状态有效。当检测完成后，由于被测对象的系统变更，本报告不再适用。</w:t>
      </w:r>
    </w:p>
    <w:p>
      <w:r>
        <w:rPr>
          <w:i w:val="0"/>
        </w:rPr>
        <w:t>在任何情况下，若需引用本报告中的结果或结论都应保持其原有的意义，不得对相关内容擅自进行增加、修改和伪造或掩盖事实。</w:t>
      </w:r>
    </w:p>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时间</w:t>
            </w:r>
          </w:p>
        </w:tc>
        <w:tc>
          <w:tcPr>
            <w:tcW w:type="dxa" w:w="2160"/>
          </w:tcPr>
          <w:p>
            <w:r>
              <w:rPr>
                <w:b/>
              </w:rPr>
              <w:t>版本</w:t>
            </w:r>
          </w:p>
        </w:tc>
        <w:tc>
          <w:tcPr>
            <w:tcW w:type="dxa" w:w="2160"/>
          </w:tcPr>
          <w:p>
            <w:r>
              <w:rPr>
                <w:b/>
              </w:rPr>
              <w:t>说明</w:t>
            </w:r>
          </w:p>
        </w:tc>
        <w:tc>
          <w:tcPr>
            <w:tcW w:type="dxa" w:w="2160"/>
          </w:tcPr>
          <w:p>
            <w:r>
              <w:rPr>
                <w:b/>
              </w:rPr>
              <w:t>修改人</w:t>
            </w:r>
          </w:p>
        </w:tc>
      </w:tr>
      <w:tr>
        <w:tc>
          <w:tcPr>
            <w:tcW w:type="dxa" w:w="2160"/>
          </w:tcPr>
          <w:p>
            <w:r>
              <w:t>2026-08-10</w:t>
            </w:r>
          </w:p>
        </w:tc>
        <w:tc>
          <w:tcPr>
            <w:tcW w:type="dxa" w:w="2160"/>
          </w:tcPr>
          <w:p>
            <w:r>
              <w:t>V1.0</w:t>
            </w:r>
          </w:p>
        </w:tc>
        <w:tc>
          <w:tcPr>
            <w:tcW w:type="dxa" w:w="2160"/>
          </w:tcPr>
          <w:p>
            <w:r>
              <w:t>创建应用安全检测报告（未认证黑盒 + 管理员认证态实测）</w:t>
            </w:r>
          </w:p>
        </w:tc>
        <w:tc>
          <w:tcPr>
            <w:tcW w:type="dxa" w:w="2160"/>
          </w:tcPr>
          <w:p>
            <w:r>
              <w:t>安全测试组</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项目名称</w:t>
            </w:r>
          </w:p>
        </w:tc>
        <w:tc>
          <w:tcPr>
            <w:tcW w:type="dxa" w:w="2160"/>
          </w:tcPr>
          <w:p>
            <w:r>
              <w:rPr>
                <w:b/>
              </w:rPr>
              <w:t>系统级别</w:t>
            </w:r>
          </w:p>
        </w:tc>
        <w:tc>
          <w:tcPr>
            <w:tcW w:type="dxa" w:w="2160"/>
          </w:tcPr>
          <w:p>
            <w:r>
              <w:rPr>
                <w:b/>
              </w:rPr>
              <w:t>应用网址</w:t>
            </w:r>
          </w:p>
        </w:tc>
        <w:tc>
          <w:tcPr>
            <w:tcW w:type="dxa" w:w="2160"/>
          </w:tcPr>
          <w:p>
            <w:r>
              <w:rPr>
                <w:b/>
              </w:rPr>
              <w:t>IP地址</w:t>
            </w:r>
          </w:p>
        </w:tc>
      </w:tr>
      <w:tr>
        <w:tc>
          <w:tcPr>
            <w:tcW w:type="dxa" w:w="2160"/>
          </w:tcPr>
          <w:p>
            <w:r>
              <w:t>Polarion ALM 应用生命周期管理平台</w:t>
            </w:r>
          </w:p>
        </w:tc>
        <w:tc>
          <w:tcPr>
            <w:tcW w:type="dxa" w:w="2160"/>
          </w:tcPr>
          <w:p>
            <w:r>
              <w:t>内部重要业务系统（研发管理类）</w:t>
            </w:r>
          </w:p>
        </w:tc>
        <w:tc>
          <w:tcPr>
            <w:tcW w:type="dxa" w:w="2160"/>
          </w:tcPr>
          <w:p>
            <w:r>
              <w:t>http://172.23.131.184/polarion</w:t>
            </w:r>
          </w:p>
        </w:tc>
        <w:tc>
          <w:tcPr>
            <w:tcW w:type="dxa" w:w="2160"/>
          </w:tcPr>
          <w:p>
            <w:r>
              <w:t>内网访问（脱敏）</w:t>
            </w:r>
          </w:p>
        </w:tc>
      </w:tr>
    </w:tbl>
    <w:p>
      <w:pPr>
        <w:pStyle w:val="Heading2"/>
      </w:pPr>
      <w:r>
        <w:t>风险信息</w:t>
      </w:r>
    </w:p>
    <w:p>
      <w:r>
        <w:rPr>
          <w:i w:val="0"/>
        </w:rPr>
        <w:t>本次安全检测共完成 55 项检测内容，共计发现 10 个安全风险，其中高危风险 1 个、中危风险 8 个、低危风险 1 个（判定为“不符合”）。另有“符合” 24 项、“未测试” 19 项、“不涉及” 2 项。</w:t>
      </w:r>
    </w:p>
    <w:p>
      <w:r>
        <w:rPr>
          <w:i w:val="0"/>
        </w:rPr>
        <w:t>“未测试” 19 项系因测试条件受限（如缺少对照账号、生产环境非破坏性约束、经隧道无法验证等）无法完成验证，据实标记并说明原因；“不涉及” 2 项系统不涉及对应功能场景。</w:t>
      </w:r>
    </w:p>
    <w:p>
      <w:pPr>
        <w:pStyle w:val="Heading2"/>
      </w:pPr>
      <w:r>
        <w:t>风险汇总</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序号</w:t>
            </w:r>
          </w:p>
        </w:tc>
        <w:tc>
          <w:tcPr>
            <w:tcW w:type="dxa" w:w="1728"/>
          </w:tcPr>
          <w:p>
            <w:r>
              <w:rPr>
                <w:b/>
              </w:rPr>
              <w:t>风险章节</w:t>
            </w:r>
          </w:p>
        </w:tc>
        <w:tc>
          <w:tcPr>
            <w:tcW w:type="dxa" w:w="1728"/>
          </w:tcPr>
          <w:p>
            <w:r>
              <w:rPr>
                <w:b/>
              </w:rPr>
              <w:t>风险名称</w:t>
            </w:r>
          </w:p>
        </w:tc>
        <w:tc>
          <w:tcPr>
            <w:tcW w:type="dxa" w:w="1728"/>
          </w:tcPr>
          <w:p>
            <w:r>
              <w:rPr>
                <w:b/>
              </w:rPr>
              <w:t>风险等级</w:t>
            </w:r>
          </w:p>
        </w:tc>
        <w:tc>
          <w:tcPr>
            <w:tcW w:type="dxa" w:w="1728"/>
          </w:tcPr>
          <w:p>
            <w:r>
              <w:rPr>
                <w:b/>
              </w:rPr>
              <w:t>复测结果</w:t>
            </w:r>
          </w:p>
        </w:tc>
      </w:tr>
      <w:tr>
        <w:tc>
          <w:tcPr>
            <w:tcW w:type="dxa" w:w="1728"/>
          </w:tcPr>
          <w:p>
            <w:r>
              <w:t>1</w:t>
            </w:r>
          </w:p>
        </w:tc>
        <w:tc>
          <w:tcPr>
            <w:tcW w:type="dxa" w:w="1728"/>
          </w:tcPr>
          <w:p>
            <w:r>
              <w:t>3.4.1</w:t>
            </w:r>
          </w:p>
        </w:tc>
        <w:tc>
          <w:tcPr>
            <w:tcW w:type="dxa" w:w="1728"/>
          </w:tcPr>
          <w:p>
            <w:r>
              <w:t>软件版本信息泄漏安全测试</w:t>
            </w:r>
          </w:p>
        </w:tc>
        <w:tc>
          <w:tcPr>
            <w:tcW w:type="dxa" w:w="1728"/>
          </w:tcPr>
          <w:p>
            <w:r>
              <w:rPr>
                <w:b/>
                <w:color w:val="BF8F00"/>
              </w:rPr>
              <w:t>低</w:t>
            </w:r>
          </w:p>
        </w:tc>
        <w:tc>
          <w:tcPr>
            <w:tcW w:type="dxa" w:w="1728"/>
          </w:tcPr>
          <w:p>
            <w:r/>
          </w:p>
        </w:tc>
      </w:tr>
      <w:tr>
        <w:tc>
          <w:tcPr>
            <w:tcW w:type="dxa" w:w="1728"/>
          </w:tcPr>
          <w:p>
            <w:r>
              <w:t>2</w:t>
            </w:r>
          </w:p>
        </w:tc>
        <w:tc>
          <w:tcPr>
            <w:tcW w:type="dxa" w:w="1728"/>
          </w:tcPr>
          <w:p>
            <w:r>
              <w:t>3.5.1</w:t>
            </w:r>
          </w:p>
        </w:tc>
        <w:tc>
          <w:tcPr>
            <w:tcW w:type="dxa" w:w="1728"/>
          </w:tcPr>
          <w:p>
            <w:r>
              <w:t>验证码功能安全测试</w:t>
            </w:r>
          </w:p>
        </w:tc>
        <w:tc>
          <w:tcPr>
            <w:tcW w:type="dxa" w:w="1728"/>
          </w:tcPr>
          <w:p>
            <w:r>
              <w:rPr>
                <w:b/>
                <w:color w:val="E36C09"/>
              </w:rPr>
              <w:t>中</w:t>
            </w:r>
          </w:p>
        </w:tc>
        <w:tc>
          <w:tcPr>
            <w:tcW w:type="dxa" w:w="1728"/>
          </w:tcPr>
          <w:p>
            <w:r/>
          </w:p>
        </w:tc>
      </w:tr>
      <w:tr>
        <w:tc>
          <w:tcPr>
            <w:tcW w:type="dxa" w:w="1728"/>
          </w:tcPr>
          <w:p>
            <w:r>
              <w:t>3</w:t>
            </w:r>
          </w:p>
        </w:tc>
        <w:tc>
          <w:tcPr>
            <w:tcW w:type="dxa" w:w="1728"/>
          </w:tcPr>
          <w:p>
            <w:r>
              <w:t>3.5.3</w:t>
            </w:r>
          </w:p>
        </w:tc>
        <w:tc>
          <w:tcPr>
            <w:tcW w:type="dxa" w:w="1728"/>
          </w:tcPr>
          <w:p>
            <w:r>
              <w:t>双因素验证功能安全测试</w:t>
            </w:r>
          </w:p>
        </w:tc>
        <w:tc>
          <w:tcPr>
            <w:tcW w:type="dxa" w:w="1728"/>
          </w:tcPr>
          <w:p>
            <w:r>
              <w:rPr>
                <w:b/>
                <w:color w:val="E36C09"/>
              </w:rPr>
              <w:t>中</w:t>
            </w:r>
          </w:p>
        </w:tc>
        <w:tc>
          <w:tcPr>
            <w:tcW w:type="dxa" w:w="1728"/>
          </w:tcPr>
          <w:p>
            <w:r/>
          </w:p>
        </w:tc>
      </w:tr>
      <w:tr>
        <w:tc>
          <w:tcPr>
            <w:tcW w:type="dxa" w:w="1728"/>
          </w:tcPr>
          <w:p>
            <w:r>
              <w:t>4</w:t>
            </w:r>
          </w:p>
        </w:tc>
        <w:tc>
          <w:tcPr>
            <w:tcW w:type="dxa" w:w="1728"/>
          </w:tcPr>
          <w:p>
            <w:r>
              <w:t>3.5.8</w:t>
            </w:r>
          </w:p>
        </w:tc>
        <w:tc>
          <w:tcPr>
            <w:tcW w:type="dxa" w:w="1728"/>
          </w:tcPr>
          <w:p>
            <w:r>
              <w:t>强密码策略安全测试</w:t>
            </w:r>
          </w:p>
        </w:tc>
        <w:tc>
          <w:tcPr>
            <w:tcW w:type="dxa" w:w="1728"/>
          </w:tcPr>
          <w:p>
            <w:r>
              <w:rPr>
                <w:b/>
                <w:color w:val="E36C09"/>
              </w:rPr>
              <w:t>中</w:t>
            </w:r>
          </w:p>
        </w:tc>
        <w:tc>
          <w:tcPr>
            <w:tcW w:type="dxa" w:w="1728"/>
          </w:tcPr>
          <w:p>
            <w:r/>
          </w:p>
        </w:tc>
      </w:tr>
      <w:tr>
        <w:tc>
          <w:tcPr>
            <w:tcW w:type="dxa" w:w="1728"/>
          </w:tcPr>
          <w:p>
            <w:r>
              <w:t>5</w:t>
            </w:r>
          </w:p>
        </w:tc>
        <w:tc>
          <w:tcPr>
            <w:tcW w:type="dxa" w:w="1728"/>
          </w:tcPr>
          <w:p>
            <w:r>
              <w:t>3.7.1</w:t>
            </w:r>
          </w:p>
        </w:tc>
        <w:tc>
          <w:tcPr>
            <w:tcW w:type="dxa" w:w="1728"/>
          </w:tcPr>
          <w:p>
            <w:r>
              <w:t>Cookie安全测试</w:t>
            </w:r>
          </w:p>
        </w:tc>
        <w:tc>
          <w:tcPr>
            <w:tcW w:type="dxa" w:w="1728"/>
          </w:tcPr>
          <w:p>
            <w:r>
              <w:rPr>
                <w:b/>
                <w:color w:val="E36C09"/>
              </w:rPr>
              <w:t>中</w:t>
            </w:r>
          </w:p>
        </w:tc>
        <w:tc>
          <w:tcPr>
            <w:tcW w:type="dxa" w:w="1728"/>
          </w:tcPr>
          <w:p>
            <w:r/>
          </w:p>
        </w:tc>
      </w:tr>
      <w:tr>
        <w:tc>
          <w:tcPr>
            <w:tcW w:type="dxa" w:w="1728"/>
          </w:tcPr>
          <w:p>
            <w:r>
              <w:t>6</w:t>
            </w:r>
          </w:p>
        </w:tc>
        <w:tc>
          <w:tcPr>
            <w:tcW w:type="dxa" w:w="1728"/>
          </w:tcPr>
          <w:p>
            <w:r>
              <w:t>3.9.1</w:t>
            </w:r>
          </w:p>
        </w:tc>
        <w:tc>
          <w:tcPr>
            <w:tcW w:type="dxa" w:w="1728"/>
          </w:tcPr>
          <w:p>
            <w:r>
              <w:t>应用组件错误信息安全测试</w:t>
            </w:r>
          </w:p>
        </w:tc>
        <w:tc>
          <w:tcPr>
            <w:tcW w:type="dxa" w:w="1728"/>
          </w:tcPr>
          <w:p>
            <w:r>
              <w:rPr>
                <w:b/>
                <w:color w:val="E36C09"/>
              </w:rPr>
              <w:t>中</w:t>
            </w:r>
          </w:p>
        </w:tc>
        <w:tc>
          <w:tcPr>
            <w:tcW w:type="dxa" w:w="1728"/>
          </w:tcPr>
          <w:p>
            <w:r/>
          </w:p>
        </w:tc>
      </w:tr>
      <w:tr>
        <w:tc>
          <w:tcPr>
            <w:tcW w:type="dxa" w:w="1728"/>
          </w:tcPr>
          <w:p>
            <w:r>
              <w:t>7</w:t>
            </w:r>
          </w:p>
        </w:tc>
        <w:tc>
          <w:tcPr>
            <w:tcW w:type="dxa" w:w="1728"/>
          </w:tcPr>
          <w:p>
            <w:r>
              <w:t>3.12.1</w:t>
            </w:r>
          </w:p>
        </w:tc>
        <w:tc>
          <w:tcPr>
            <w:tcW w:type="dxa" w:w="1728"/>
          </w:tcPr>
          <w:p>
            <w:r>
              <w:t>加密传输安全测试</w:t>
            </w:r>
          </w:p>
        </w:tc>
        <w:tc>
          <w:tcPr>
            <w:tcW w:type="dxa" w:w="1728"/>
          </w:tcPr>
          <w:p>
            <w:r>
              <w:rPr>
                <w:b/>
                <w:color w:val="E36C09"/>
              </w:rPr>
              <w:t>中</w:t>
            </w:r>
          </w:p>
        </w:tc>
        <w:tc>
          <w:tcPr>
            <w:tcW w:type="dxa" w:w="1728"/>
          </w:tcPr>
          <w:p>
            <w:r/>
          </w:p>
        </w:tc>
      </w:tr>
      <w:tr>
        <w:tc>
          <w:tcPr>
            <w:tcW w:type="dxa" w:w="1728"/>
          </w:tcPr>
          <w:p>
            <w:r>
              <w:t>8</w:t>
            </w:r>
          </w:p>
        </w:tc>
        <w:tc>
          <w:tcPr>
            <w:tcW w:type="dxa" w:w="1728"/>
          </w:tcPr>
          <w:p>
            <w:r>
              <w:t>3.12.2</w:t>
            </w:r>
          </w:p>
        </w:tc>
        <w:tc>
          <w:tcPr>
            <w:tcW w:type="dxa" w:w="1728"/>
          </w:tcPr>
          <w:p>
            <w:r>
              <w:t>数据脱敏展示安全测试</w:t>
            </w:r>
          </w:p>
        </w:tc>
        <w:tc>
          <w:tcPr>
            <w:tcW w:type="dxa" w:w="1728"/>
          </w:tcPr>
          <w:p>
            <w:r>
              <w:rPr>
                <w:b/>
                <w:color w:val="E36C09"/>
              </w:rPr>
              <w:t>中</w:t>
            </w:r>
          </w:p>
        </w:tc>
        <w:tc>
          <w:tcPr>
            <w:tcW w:type="dxa" w:w="1728"/>
          </w:tcPr>
          <w:p>
            <w:r/>
          </w:p>
        </w:tc>
      </w:tr>
      <w:tr>
        <w:tc>
          <w:tcPr>
            <w:tcW w:type="dxa" w:w="1728"/>
          </w:tcPr>
          <w:p>
            <w:r>
              <w:t>9</w:t>
            </w:r>
          </w:p>
        </w:tc>
        <w:tc>
          <w:tcPr>
            <w:tcW w:type="dxa" w:w="1728"/>
          </w:tcPr>
          <w:p>
            <w:r>
              <w:t>3.13.1</w:t>
            </w:r>
          </w:p>
        </w:tc>
        <w:tc>
          <w:tcPr>
            <w:tcW w:type="dxa" w:w="1728"/>
          </w:tcPr>
          <w:p>
            <w:r>
              <w:t>HTTPS协议安全测试</w:t>
            </w:r>
          </w:p>
        </w:tc>
        <w:tc>
          <w:tcPr>
            <w:tcW w:type="dxa" w:w="1728"/>
          </w:tcPr>
          <w:p>
            <w:r>
              <w:rPr>
                <w:b/>
                <w:color w:val="E36C09"/>
              </w:rPr>
              <w:t>中</w:t>
            </w:r>
          </w:p>
        </w:tc>
        <w:tc>
          <w:tcPr>
            <w:tcW w:type="dxa" w:w="1728"/>
          </w:tcPr>
          <w:p>
            <w:r/>
          </w:p>
        </w:tc>
      </w:tr>
      <w:tr>
        <w:tc>
          <w:tcPr>
            <w:tcW w:type="dxa" w:w="1728"/>
          </w:tcPr>
          <w:p>
            <w:r>
              <w:t>10</w:t>
            </w:r>
          </w:p>
        </w:tc>
        <w:tc>
          <w:tcPr>
            <w:tcW w:type="dxa" w:w="1728"/>
          </w:tcPr>
          <w:p>
            <w:r>
              <w:t>3.13.3</w:t>
            </w:r>
          </w:p>
        </w:tc>
        <w:tc>
          <w:tcPr>
            <w:tcW w:type="dxa" w:w="1728"/>
          </w:tcPr>
          <w:p>
            <w:r>
              <w:t>弱口令安全测试</w:t>
            </w:r>
          </w:p>
        </w:tc>
        <w:tc>
          <w:tcPr>
            <w:tcW w:type="dxa" w:w="1728"/>
          </w:tcPr>
          <w:p>
            <w:r>
              <w:rPr>
                <w:b/>
                <w:color w:val="C00000"/>
              </w:rPr>
              <w:t>高</w:t>
            </w:r>
          </w:p>
        </w:tc>
        <w:tc>
          <w:tcPr>
            <w:tcW w:type="dxa" w:w="1728"/>
          </w:tcPr>
          <w:p>
            <w:r/>
          </w:p>
        </w:tc>
      </w:tr>
    </w:tbl>
    <w:p>
      <w:r>
        <w:rPr>
          <w:i/>
        </w:rPr>
        <w:t>注：上表仅列出本次判定为“不符合”的 10 项风险；全部 55 项检测内容的逐项结果（含符合/未测试/不涉及）详见“检测详情”。“复测结果”列供整改复测时填写。</w:t>
      </w:r>
    </w:p>
    <w:p>
      <w:pPr>
        <w:pStyle w:val="Heading1"/>
      </w:pPr>
      <w:r>
        <w:t>检测详情</w:t>
      </w:r>
    </w:p>
    <w:p>
      <w:pPr>
        <w:pStyle w:val="Heading2"/>
      </w:pPr>
      <w:r>
        <w:t>端口安全</w:t>
      </w:r>
    </w:p>
    <w:p>
      <w:pPr>
        <w:pStyle w:val="Heading3"/>
      </w:pPr>
      <w:r>
        <w:t>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本次经内网 TCP 隧道接入，隧道仅映射目标主机的 TCP/80 单一端口，无法对目标主机开展完整端口扫描与高危端口枚举，故本项不做结论。已确认的事实：80 端口对外提供 HTTP 服务（Apache 承载 Polarion 应用）；管理端与业务端未做端口分离，系统管理功能（/polarion/#/administration/*）与普通业务功能共用同一 80 端口，仅以 URL 路径区分，管理端入口未见独立端口或 IP 白名单限制。完整结论需在可直连目标网段的条件下补充全端口扫描。</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受限于单端口隧道，未完成全端口扫描；建议后续在可直连网段补测。管理端与业务端同端口共用为观察事实，是否需端口分离取决于系统定级结论。</w:t>
            </w:r>
          </w:p>
        </w:tc>
      </w:tr>
    </w:tbl>
    <w:p/>
    <w:p>
      <w:pPr>
        <w:pStyle w:val="Heading2"/>
      </w:pPr>
      <w:r>
        <w:t>基线安全</w:t>
      </w:r>
    </w:p>
    <w:p>
      <w:pPr>
        <w:pStyle w:val="Heading3"/>
      </w:pPr>
      <w:r>
        <w:t>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实测识别到的组件版本：应用层为 Siemens Polarion ALM 2512（构建 3.25.12.20251128-1344-2512-f85ab45a，于登录页与「About Polarion」处取证），为厂商当前发布版本；Web 承载层响应头 Server 为 Apache/2.4.58 (Ubuntu)。逐项验证未授权暴露面（Spring Boot Actuator、Swagger、api-docs、WEB-INF/web.xml、.git/config、server-status）均未暴露，未发现可被实际利用的组件缺陷。按「不以版本号直接判定漏洞」原则，本项判定为符合。</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Apache 2.4.58 非 2.4.x 最新维护版本，建议纳入常态化补丁基线，随厂商安全公告升级至当前最新 2.4.x；本次未发现其对应可利用面。</w:t>
            </w:r>
          </w:p>
        </w:tc>
      </w:tr>
    </w:tbl>
    <w:p/>
    <w:p>
      <w:pPr>
        <w:pStyle w:val="Heading2"/>
      </w:pPr>
      <w:r>
        <w:t>前端安全</w:t>
      </w:r>
    </w:p>
    <w:p>
      <w:pPr>
        <w:pStyle w:val="Heading3"/>
      </w:pPr>
      <w:r>
        <w:t>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抓取并审阅前端加载的 JS 资源，前端主体为 Polarion 自有 GWT 编译产物（/polarion/gwt/com.polarion.UI/*）配合 jQuery 3.5.0。jQuery 3.5.0 已修复 3.5.0 之前版本的原型污染与 HTML 解析型 XSS 问题（CVE-2020-11022/11023 在 3.5.0 中修复），未识别到处于已知高危区间的前端库。认证态页面 358 个资源请求全部为 200，未见加载第三方来源的高危旧版库。</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建议随 Polarion 版本升级同步跟进前端库版本。</w:t>
            </w:r>
          </w:p>
        </w:tc>
      </w:tr>
    </w:tbl>
    <w:p/>
    <w:p>
      <w:pPr>
        <w:pStyle w:val="Heading3"/>
      </w:pPr>
      <w:r>
        <w:t>前端JS泄露安全测试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前端JS泄露安全测试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前端JS文件应不包含敏感信息，如接口、密钥、个人敏感信息、应用敏感信息等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审阅未认证可获取的前端脚本（登录相关 login.js、loginPages.js）及页面内联脚本，未发现硬编码密钥、AK/SK、内部接口凭据或个人敏感信息；login.js 中出现的 password 字样经核实为登录表单 DOM 元素的变量引用，非凭据明文。另探测常见前端配置泄露路径 /polarion/config.js，返回的是登录页面（约 8KB，含 j_security_check 表单），并非配置文件，不构成配置泄露。</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2"/>
      </w:pPr>
      <w:r>
        <w:t>传输安全</w:t>
      </w:r>
    </w:p>
    <w:p>
      <w:pPr>
        <w:pStyle w:val="Heading3"/>
      </w:pPr>
      <w:r>
        <w:t>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rPr>
                <w:b/>
                <w:color w:val="BF8F00"/>
              </w:rPr>
              <w:t>低</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实测存在软件版本信息对外泄露：(1) HTTP 响应头 Server: Apache/2.4.58 (Ubuntu)，直接暴露中间件名称、精确小版本与操作系统发行版；(2) 未认证可访问的登录页面右侧明示「Version 2512」；(3) 认证后「About Polarion」区域进一步暴露完整构建号 3.25.12.20251128-1344-2512-f85ab45a 与授权主体信息。攻击者可据此精确匹配对应版本的历史漏洞，降低漏洞探测成本。</w:t>
            </w:r>
          </w:p>
        </w:tc>
      </w:tr>
      <w:tr>
        <w:tc>
          <w:tcPr>
            <w:tcW w:type="dxa" w:w="1872"/>
            <w:shd w:val="clear" w:fill="F2F2F2"/>
          </w:tcPr>
          <w:p>
            <w:r>
              <w:rPr>
                <w:b/>
              </w:rPr>
              <w:t>修复建议</w:t>
            </w:r>
          </w:p>
        </w:tc>
        <w:tc>
          <w:tcPr>
            <w:tcW w:type="dxa" w:w="7488"/>
          </w:tcPr>
          <w:p>
            <w:r>
              <w:t>1、在 Apache 配置中设置 ServerTokens Prod 与 ServerSignature Off，仅返回产品名不返回精确版本与操作系统信息；2、通过反向代理统一移除或改写 Server 等指纹响应头；3、对未认证可见的登录页面，去除或弱化产品精确版本号展示，将详细版本与构建号限制在管理员认证后可见；4、将版本指纹收敛纳入上线前安全基线检查项。</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1" name="Picture 1"/>
            <wp:cNvGraphicFramePr>
              <a:graphicFrameLocks noChangeAspect="1"/>
            </wp:cNvGraphicFramePr>
            <a:graphic>
              <a:graphicData uri="http://schemas.openxmlformats.org/drawingml/2006/picture">
                <pic:pic>
                  <pic:nvPicPr>
                    <pic:cNvPr id="0" name="fig_login_page.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图1：未认证登录页面直接展示产品版本「Version 2512」</w:t>
      </w:r>
    </w:p>
    <w:p/>
    <w:p>
      <w:pPr>
        <w:pStyle w:val="Heading3"/>
      </w:pPr>
      <w:r>
        <w:t>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实测应用具备请求防篡改与来源校验机制：(1) 登录表单除账号口令外携带独立的 csrfToken 隐藏域；(2) 服务端下发独立的 X-CSRF-Token Cookie（HttpOnly、SameSite=Strict），状态变更类请求需携带匹配令牌；(3) 服务端对请求来源做强校验——在经隧道访问时，因浏览器发出的 Origin/Referer 与后端实际 Host 不一致，/polarion/gwt/com.polarion.UI/xsrf 与 DebugService 均返回 403 被拒；将 Origin/Referer 还原为后端 Host 后方恢复 200。该现象反证服务端确实对来源做了校验而非放行。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未观察到面向业务请求的时间戳+随机数级请求签名机制（商用 ALM 产品常见现状）；若该系统后续定级为三级及以上，建议评估对核心接口增加请求/响应双向签名。</w:t>
            </w:r>
          </w:p>
        </w:tc>
      </w:tr>
    </w:tbl>
    <w:p/>
    <w:p>
      <w:pPr>
        <w:pStyle w:val="Heading2"/>
      </w:pPr>
      <w:r>
        <w:t>身份鉴别</w:t>
      </w:r>
    </w:p>
    <w:p>
      <w:pPr>
        <w:pStyle w:val="Heading3"/>
      </w:pPr>
      <w:r>
        <w:t>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实测登录认证环节未部署任何人机验证措施。取证依据：(1) 未认证登录页面的表单字段仅有 j_username、j_password、csrfToken 与 target，不存在图形验证码、滑块或其他人机校验控件；(2) 连续提交错误凭据（不存在用户名、正确用户名+错误口令）时，服务端均直接返回认证失败结果，未在失败后追加图形码或任何弹性人机验证；(3) 认证接口 /polarion/j_security_check 可直接以构造的表单请求提交，无需前置获取验证码凭据。缺失人机验证使登录接口具备被自动化账密爆破的条件。</w:t>
            </w:r>
          </w:p>
        </w:tc>
      </w:tr>
      <w:tr>
        <w:tc>
          <w:tcPr>
            <w:tcW w:type="dxa" w:w="1872"/>
            <w:shd w:val="clear" w:fill="F2F2F2"/>
          </w:tcPr>
          <w:p>
            <w:r>
              <w:rPr>
                <w:b/>
              </w:rPr>
              <w:t>修复建议</w:t>
            </w:r>
          </w:p>
        </w:tc>
        <w:tc>
          <w:tcPr>
            <w:tcW w:type="dxa" w:w="7488"/>
          </w:tcPr>
          <w:p>
            <w:r>
              <w:t>1、在登录认证环节引入服务端校验的图形验证码或滑块验证，可采用弹性策略（首次免验证、失败后强制人机验证）以兼顾体验；2、验证码必须在服务端校验，防止空参数或前端绕过；3、无论认证成功与否，验证码均应一次性失效并自动刷新；4、与账号多次失败锁定策略联动，形成爆破防护闭环；5、若通过统一身份认证平台代理登录，应在 IAM 侧统一启用人机验证与随机验证码。</w:t>
            </w:r>
          </w:p>
        </w:tc>
      </w:tr>
      <w:tr>
        <w:tc>
          <w:tcPr>
            <w:tcW w:type="dxa" w:w="1872"/>
            <w:shd w:val="clear" w:fill="F2F2F2"/>
          </w:tcPr>
          <w:p>
            <w:r>
              <w:rPr>
                <w:b/>
              </w:rPr>
              <w:t>备注</w:t>
            </w:r>
          </w:p>
        </w:tc>
        <w:tc>
          <w:tcPr>
            <w:tcW w:type="dxa" w:w="7488"/>
          </w:tcPr>
          <w:p>
            <w:r>
              <w:t>为遵循最小影响原则，未对登录接口开展任何高强度自动化爆破，仅以极少量对照请求验证验证码控件缺失这一事实。系统具备失败锁定机制（详见 AUTH-006）可作为部分补偿控制，但不能替代人机验证——锁定主要防在线爆破，验证码还可抑制自动化撞库与脚本化提交。</w:t>
            </w:r>
          </w:p>
        </w:tc>
      </w:tr>
    </w:tbl>
    <w:p>
      <w:pPr>
        <w:jc w:val="center"/>
      </w:pPr>
      <w:r>
        <w:drawing>
          <wp:inline xmlns:a="http://schemas.openxmlformats.org/drawingml/2006/main" xmlns:pic="http://schemas.openxmlformats.org/drawingml/2006/picture">
            <wp:extent cx="4937760" cy="2777490"/>
            <wp:docPr id="2" name="Picture 2"/>
            <wp:cNvGraphicFramePr>
              <a:graphicFrameLocks noChangeAspect="1"/>
            </wp:cNvGraphicFramePr>
            <a:graphic>
              <a:graphicData uri="http://schemas.openxmlformats.org/drawingml/2006/picture">
                <pic:pic>
                  <pic:nvPicPr>
                    <pic:cNvPr id="0" name="fig_login_page.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图4：登录页面仅有用户名与口令输入项，未部署图形验证码等人机验证</w:t>
      </w:r>
    </w:p>
    <w:p/>
    <w:p>
      <w:pPr>
        <w:pStyle w:val="Heading3"/>
      </w:pPr>
      <w:r>
        <w:t>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账号开通为管理员后台统一管控模式：未认证登录页面仅包含用户名、口令、「保持登录状态」与登录按钮，不存在自助注册入口，也不存在「忘记密码/密码找回」自助入口，因此不存在账号批量注册与找回环节被滥用的攻击面。认证后确认账号的创建、角色分配、启停均集中于「管理 → 用户管理 → 用户」，由管理员统一开通与维护。</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改密流程需输入原密码及改密后是否强制重新登录，因涉及变更管理员口令，本次未在生产系统上实际执行验证。</w:t>
            </w:r>
          </w:p>
        </w:tc>
      </w:tr>
    </w:tbl>
    <w:p>
      <w:pPr>
        <w:jc w:val="center"/>
      </w:pPr>
      <w:r>
        <w:drawing>
          <wp:inline xmlns:a="http://schemas.openxmlformats.org/drawingml/2006/main" xmlns:pic="http://schemas.openxmlformats.org/drawingml/2006/picture">
            <wp:extent cx="4937760" cy="2777490"/>
            <wp:docPr id="3" name="Picture 3"/>
            <wp:cNvGraphicFramePr>
              <a:graphicFrameLocks noChangeAspect="1"/>
            </wp:cNvGraphicFramePr>
            <a:graphic>
              <a:graphicData uri="http://schemas.openxmlformats.org/drawingml/2006/picture">
                <pic:pic>
                  <pic:nvPicPr>
                    <pic:cNvPr id="0" name="fig_login_page.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图2：登录页面无自助注册与密码找回入口，账号由管理员后台统一开通</w:t>
      </w:r>
    </w:p>
    <w:p/>
    <w:p>
      <w:pPr>
        <w:pStyle w:val="Heading3"/>
      </w:pPr>
      <w:r>
        <w:t>双因素验证功能安全测试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涉及使用短信及邮件模块进行验证，应满足以下安全要求：</w:t>
              <w:br/>
              <w:t>1、每个账号只允许每隔60s发送一次短信、邮件验证信息</w:t>
              <w:br/>
              <w:t>2、每个账号发送短信、邮件验证信息在120s有效</w:t>
              <w:br/>
              <w:t>3、每个账号发送短信、邮件验证码要求不小于6位，其中邮件通过链接验证，需在链接中添加临时token进行验证，临时token有效期在30min内</w:t>
              <w:br/>
              <w:t>4、每个账号每日发送短信、邮件验证信息最多不超过10次</w:t>
              <w:br/>
              <w:t>5、短信、邮件验证码一次性有效（即使用完后失效）</w:t>
              <w:br/>
              <w:t>6、短信、邮件验证码应后台发送，不能直接通过响应包直接返回用户</w:t>
              <w:br/>
              <w:t>7、业务系统应接入IAM，并开启双因素验证（面向C端由安全主任审核通过可例外）</w:t>
            </w:r>
          </w:p>
        </w:tc>
      </w:tr>
      <w:tr>
        <w:tc>
          <w:tcPr>
            <w:tcW w:type="dxa" w:w="1872"/>
            <w:shd w:val="clear" w:fill="F2F2F2"/>
          </w:tcPr>
          <w:p>
            <w:r>
              <w:rPr>
                <w:b/>
              </w:rPr>
              <w:t>风险影响</w:t>
            </w:r>
          </w:p>
        </w:tc>
        <w:tc>
          <w:tcPr>
            <w:tcW w:type="dxa" w:w="7488"/>
          </w:tcPr>
          <w:p>
            <w:r>
              <w:t>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实测系统未启用双因素认证，登录仅依赖单一口令因子。取证依据：(1) 管理端「管理 → 用户管理 → 身份验证」配置中，生效的认证提供者为本地口令方式，配置形态为 &lt;password default="true"/&gt;，即以本地口令作为默认且唯一生效的认证方式；(2) 同一配置文件中的 LDAP、OAuth2、SAML 等外部身份源与联合认证段落均为注释状态的示例，未实际启用；(3) 登录流程实测仅提交用户名与口令即完成认证，未触发任何短信、邮件、令牌或第二因子校验环节。系统未接入 IAM 双因素能力。</w:t>
            </w:r>
          </w:p>
        </w:tc>
      </w:tr>
      <w:tr>
        <w:tc>
          <w:tcPr>
            <w:tcW w:type="dxa" w:w="1872"/>
            <w:shd w:val="clear" w:fill="F2F2F2"/>
          </w:tcPr>
          <w:p>
            <w:r>
              <w:rPr>
                <w:b/>
              </w:rPr>
              <w:t>修复建议</w:t>
            </w:r>
          </w:p>
        </w:tc>
        <w:tc>
          <w:tcPr>
            <w:tcW w:type="dxa" w:w="7488"/>
          </w:tcPr>
          <w:p>
            <w:r>
              <w:t>1、将本系统接入企业统一身份认证平台（IAM），并对全部账号（尤其是 admin 等管理员账号）开启双因素认证；2、在 IAM 侧统一实施验证码有效期、发送频率、每日次数上限与一次性使用等控制要求；3、若短期内无法接入 IAM，应优先对管理员账号启用基于 TOTP 的第二因子；4、双因素校验必须在服务端完成，验证码不得通过响应包直接下发到客户端。</w:t>
            </w:r>
          </w:p>
        </w:tc>
      </w:tr>
      <w:tr>
        <w:tc>
          <w:tcPr>
            <w:tcW w:type="dxa" w:w="1872"/>
            <w:shd w:val="clear" w:fill="F2F2F2"/>
          </w:tcPr>
          <w:p>
            <w:r>
              <w:rPr>
                <w:b/>
              </w:rPr>
              <w:t>备注</w:t>
            </w:r>
          </w:p>
        </w:tc>
        <w:tc>
          <w:tcPr>
            <w:tcW w:type="dxa" w:w="7488"/>
          </w:tcPr>
          <w:p>
            <w:r>
              <w:t>认证配置页明确提示配置错误可能导致无法登录，佐证该页面为实际生效的系统认证配置界面。</w:t>
            </w:r>
          </w:p>
        </w:tc>
      </w:tr>
    </w:tbl>
    <w:p/>
    <w:p>
      <w:pPr>
        <w:pStyle w:val="Heading3"/>
      </w:pPr>
      <w:r>
        <w:t>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验证「初始口令首次登录强制改密」需要新建一个使用初始口令的账号并以该账号完成首次登录，属于在生产系统上新增账号与凭据的变更类操作，在最小影响原则与不修改生产数据的约束下本次未执行；本次仅获授权使用既有管理员账号（该账号早已完成初始化），无法据此观察首次登录行为，故不做结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建议在测试环境以一次性账号补测，或由管理员提供初始口令策略与首次登录强制改密的配置佐证。</w:t>
            </w:r>
          </w:p>
        </w:tc>
      </w:tr>
    </w:tbl>
    <w:p/>
    <w:p>
      <w:pPr>
        <w:pStyle w:val="Heading3"/>
      </w:pPr>
      <w:r>
        <w:t>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实测登录失败提示统一且不可区分。以两组对照请求向 /polarion/j_security_check 提交：(A) 不存在的用户名 + 任意口令；(B) 真实存在的用户名 admin + 错误口令。两者返回完全一致：HTTP 状态码同为 403，响应体长度同为 8027 字节，且均不含用户是否存在、账号是否锁定等区分性文案，无法据此枚举有效账号。为遵循最小影响原则并避免触发账号锁定，对照请求仅各发送一次。</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实测系统具备账号多次登录失败锁定机制。取证过程（在客户额外提供的低权限一次性账号 savetest 上进行，避免影响管理员账号）：(1) 首先确认该账号以正确口令可成功认证（服务端下发 JSESSIONIDSSO 单点登录会话标识）；(2) 随后以该账号连续提交少量错误口令（受最小影响原则约束，尝试次数严格限制在个位数）；(3) 达到失败阈值后，再次以该账号的正确口令登录被服务端拒绝（HTTP 403 且不再下发 JSESSIONIDSSO），即账号已被锁定，正确口令亦无法立即登录；(4) 间隔 60 秒后重试，正确口令仍被拒绝，说明锁定不会在短时间内自动解除。证明失败锁定策略真实生效，可有效抑制在线口令爆破。</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为遵循最小影响原则，仅验证「锁定确实触发」这一事实，未继续枚举精确的失败阈值与完整锁定时长；测试导致 savetest 账号进入锁定状态，需由管理员在用户管理中解锁或等待锁定期满后方可恢复使用。建议管理员补充确认锁定阈值、锁定持续时间与自动解锁策略配置。</w:t>
            </w:r>
          </w:p>
        </w:tc>
      </w:tr>
    </w:tbl>
    <w:p/>
    <w:p>
      <w:pPr>
        <w:pStyle w:val="Heading3"/>
      </w:pPr>
      <w:r>
        <w:t>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实测登录界面口令输入框为 &lt;input name="j_password" type="password"&gt;，浏览器按掩码方式渲染，输入过程中不以明文展示；页面未提供长期明文显示口令的开关。经隧道实际执行管理员登录，口令输入全程为掩码状态。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4" name="Picture 4"/>
            <wp:cNvGraphicFramePr>
              <a:graphicFrameLocks noChangeAspect="1"/>
            </wp:cNvGraphicFramePr>
            <a:graphic>
              <a:graphicData uri="http://schemas.openxmlformats.org/drawingml/2006/picture">
                <pic:pic>
                  <pic:nvPicPr>
                    <pic:cNvPr id="0" name="fig_login_page.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图3：登录页面口令输入框为掩码类型，不以明文展示</w:t>
      </w:r>
    </w:p>
    <w:p/>
    <w:p>
      <w:pPr>
        <w:pStyle w:val="Heading3"/>
      </w:pPr>
      <w:r>
        <w:t>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实测口令复杂度策略未得到有效强制。直接证据：系统中实际存在并可正常登录的账号 savetest，其口令为一个 6 位纯数字弱口令（长度 6 位、仅单一字符类型、属公认 Top 弱口令，本报告不记录原文），远低于「长度≥八位且含多类字符」的常见复杂度基线，却仍可作为有效凭据完成认证（详见 VULN-003；本报告不记录口令原文）。这表明系统要么未启用口令复杂度策略，要么策略未对存量账号生效，未能阻止弱口令的设置与使用。另管理端「用户管理」树中也未见可读的口令复杂度策略配置节点。</w:t>
            </w:r>
          </w:p>
        </w:tc>
      </w:tr>
      <w:tr>
        <w:tc>
          <w:tcPr>
            <w:tcW w:type="dxa" w:w="1872"/>
            <w:shd w:val="clear" w:fill="F2F2F2"/>
          </w:tcPr>
          <w:p>
            <w:r>
              <w:rPr>
                <w:b/>
              </w:rPr>
              <w:t>修复建议</w:t>
            </w:r>
          </w:p>
        </w:tc>
        <w:tc>
          <w:tcPr>
            <w:tcW w:type="dxa" w:w="7488"/>
          </w:tcPr>
          <w:p>
            <w:r>
              <w:t>1、在服务端启用并强制口令复杂度策略（最小长度≥八位、大小写字母+数字+特殊字符中至少三类、禁用连续或重复字符），对新建与改密均强制校验；2、集成弱口令黑名单拦截常见纯数字/连续数字等口令；3、对存量弱口令账号强制首次登录改密；4、定期开展口令强度审计。</w:t>
            </w:r>
          </w:p>
        </w:tc>
      </w:tr>
      <w:tr>
        <w:tc>
          <w:tcPr>
            <w:tcW w:type="dxa" w:w="1872"/>
            <w:shd w:val="clear" w:fill="F2F2F2"/>
          </w:tcPr>
          <w:p>
            <w:r>
              <w:rPr>
                <w:b/>
              </w:rPr>
              <w:t>备注</w:t>
            </w:r>
          </w:p>
        </w:tc>
        <w:tc>
          <w:tcPr>
            <w:tcW w:type="dxa" w:w="7488"/>
          </w:tcPr>
          <w:p>
            <w:r>
              <w:t>本项与 VULN-003 基于同一实测事实（savetest 以一个 6 位纯数字弱口令即可登录，原文不记录）：VULN-003 从“存在弱口令”角度定性，AUTH-008 从“复杂度策略未强制”角度定性。建议管理员补充服务端口令策略配置现状作为整改依据。</w:t>
            </w:r>
          </w:p>
        </w:tc>
      </w:tr>
    </w:tbl>
    <w:p/>
    <w:p>
      <w:pPr>
        <w:pStyle w:val="Heading3"/>
      </w:pPr>
      <w:r>
        <w:t>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账号半年不登录自动锁定」为长周期时间维度的策略，无法在本次检测窗口内通过黑盒或认证态观察验证；管理端「用户管理」界面亦未提供可直接读取的长期未登录自动锁定策略配置项与各账号最近登录时间统计视图，故不做结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建议由系统管理员导出账号最近登录时间清单及长期未登录处置策略作为佐证；结合本次观察到的在册账号数量（约 45 个），建议建立账号定期清理复核机制。</w:t>
            </w:r>
          </w:p>
        </w:tc>
      </w:tr>
    </w:tbl>
    <w:p/>
    <w:p>
      <w:pPr>
        <w:pStyle w:val="Heading3"/>
      </w:pPr>
      <w:r>
        <w:t>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实测应用的身份与授权判定基于服务端会话而非客户端传入的用户标识。取证依据：(1) 认证凭据为服务端下发的 JSESSIONID / JSESSIONIDSSO 会话 Cookie，请求中不携带可被篡改的用户身份或角色标识作为鉴权依据；(2) 在未持有有效会话的情况下访问 /polarion/rest/v1/currentuser 与 /polarion/rest/v1/projects，服务端返回 401 与 Unauthorized 的 JSON 响应，说明身份判定完全在服务端完成；(3) 页面 URL 中出现的 id=admin、project/T23 等参数为资源定位标识，服务端仍依据会话主体独立进行访问控制，未以该参数作为身份凭证。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资源标识可枚举场景下的实际越权效果详见 PER-002，已使用低权限对照账号完成验证，未发现越权。</w:t>
            </w:r>
          </w:p>
        </w:tc>
      </w:tr>
    </w:tbl>
    <w:p/>
    <w:p>
      <w:pPr>
        <w:pStyle w:val="Heading2"/>
      </w:pPr>
      <w:r>
        <w:t>权限管理</w:t>
      </w:r>
    </w:p>
    <w:p>
      <w:pPr>
        <w:pStyle w:val="Heading3"/>
      </w:pPr>
      <w:r>
        <w:t>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实测系统具备完整的账号赋权与权限分离能力：(1) 具备基于角色的访问控制，管理员账号的全局角色为 everyone、admin、user（来源标注为「直接分配」），并可另行持有 project_admin 等项目级角色，管理员与普通用户角色在全局与项目两个层级分离；(2) 管理端提供「用户管理」下的用户、组、角色、访问权限管理、许可管理等完整赋权入口，可按账号与角色控制可访问的项目与资源；(3) 账号具备启用/停用与有效期控制能力，管理员可对异常账号执行冻结处置；(4) 具备操作审计能力（详见 AUD-001、AUD-002），可对管理员操作进行追溯；(5) 系统对管理员自身账号删除做了保护——删除按钮提示「对不起，您不能删除您的用户帐号」，防止误操作导致权限体系损坏。</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5" name="Picture 5"/>
            <wp:cNvGraphicFramePr>
              <a:graphicFrameLocks noChangeAspect="1"/>
            </wp:cNvGraphicFramePr>
            <a:graphic>
              <a:graphicData uri="http://schemas.openxmlformats.org/drawingml/2006/picture">
                <pic:pic>
                  <pic:nvPicPr>
                    <pic:cNvPr id="0" name="fig_account_roles_logout.png"/>
                    <pic:cNvPicPr/>
                  </pic:nvPicPr>
                  <pic:blipFill>
                    <a:blip r:embed="rId10"/>
                    <a:stretch>
                      <a:fillRect/>
                    </a:stretch>
                  </pic:blipFill>
                  <pic:spPr>
                    <a:xfrm>
                      <a:off x="0" y="0"/>
                      <a:ext cx="4937760" cy="2777490"/>
                    </a:xfrm>
                    <a:prstGeom prst="rect"/>
                  </pic:spPr>
                </pic:pic>
              </a:graphicData>
            </a:graphic>
          </wp:inline>
        </w:drawing>
      </w:r>
    </w:p>
    <w:p>
      <w:pPr>
        <w:jc w:val="center"/>
      </w:pPr>
      <w:r>
        <w:rPr>
          <w:i/>
          <w:sz w:val="18"/>
        </w:rPr>
        <w:t>图5：账号全局角色（everyone/admin/user）与角色来源，体现基于角色的权限分离</w:t>
      </w:r>
    </w:p>
    <w:p/>
    <w:p>
      <w:pPr>
        <w:pStyle w:val="Heading3"/>
      </w:pPr>
      <w:r>
        <w:t>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防越权安全测试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系统应具备更严格的权限管理，防止出现越权问题</w:t>
            </w:r>
          </w:p>
        </w:tc>
      </w:tr>
      <w:tr>
        <w:tc>
          <w:tcPr>
            <w:tcW w:type="dxa" w:w="1872"/>
            <w:shd w:val="clear" w:fill="F2F2F2"/>
          </w:tcPr>
          <w:p>
            <w:r>
              <w:rPr>
                <w:b/>
              </w:rPr>
              <w:t>风险影响</w:t>
            </w:r>
          </w:p>
        </w:tc>
        <w:tc>
          <w:tcPr>
            <w:tcW w:type="dxa" w:w="7488"/>
          </w:tcPr>
          <w:p>
            <w:r>
              <w:t>存在未授权访问与越权操作风险，攻击者利用应用权限管理漏洞，提升账号权限、越权获取应用敏感数据，导致信息泄露。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使用客户提供的低权限账号 savetest 与管理员账号 admin 对照，实测纵向与横向越权均得到有效控制：(1) 纵向越权——以 savetest 登录后尝试进入全局管理控制台（#/administration），服务端拒绝并弹出重新登录（提权）对话框，页面始终未渲染出用户管理、身份验证、许可管理等管理员专属功能树，低权限用户无法获取管理员能力；(2) 横向越权——以 savetest 直接请求管理员所属项目 T23 的多个路由（项目主页 /project/T23/home、项目管理 /project/T23/administration、他人用户详情 /project/T23/user?id=admin），均未能打开 T23 项目数据，页面一律回落到 savetest 自身可见的「默认存储库」主页，未泄露任何非授权项目与用户数据；(3) 越权尝试下系统“失败关闭”（回落主页或要求重新认证）而非“失败开放”，未发现可通过修改 URL 路径、项目标识或用户 id 实现的水平/垂直越权。</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本项为高风险项，已借助客户补充提供的低权限账号 savetest 完成对照验证。本次仅涵盖基于页面/路由层面的越权访问；针对具体业务对象（工作项、附件）的细粒度越权读写，因需向生产系统写入测试数据未展开，建议在测试环境补测。</w:t>
            </w:r>
          </w:p>
        </w:tc>
      </w:tr>
    </w:tbl>
    <w:p>
      <w:pPr>
        <w:jc w:val="center"/>
      </w:pPr>
      <w:r>
        <w:drawing>
          <wp:inline xmlns:a="http://schemas.openxmlformats.org/drawingml/2006/main" xmlns:pic="http://schemas.openxmlformats.org/drawingml/2006/picture">
            <wp:extent cx="4937760" cy="2480417"/>
            <wp:docPr id="6" name="Picture 6"/>
            <wp:cNvGraphicFramePr>
              <a:graphicFrameLocks noChangeAspect="1"/>
            </wp:cNvGraphicFramePr>
            <a:graphic>
              <a:graphicData uri="http://schemas.openxmlformats.org/drawingml/2006/picture">
                <pic:pic>
                  <pic:nvPicPr>
                    <pic:cNvPr id="0" name="fig_savetest_admin.png"/>
                    <pic:cNvPicPr/>
                  </pic:nvPicPr>
                  <pic:blipFill>
                    <a:blip r:embed="rId11"/>
                    <a:stretch>
                      <a:fillRect/>
                    </a:stretch>
                  </pic:blipFill>
                  <pic:spPr>
                    <a:xfrm>
                      <a:off x="0" y="0"/>
                      <a:ext cx="4937760" cy="2480417"/>
                    </a:xfrm>
                    <a:prstGeom prst="rect"/>
                  </pic:spPr>
                </pic:pic>
              </a:graphicData>
            </a:graphic>
          </wp:inline>
        </w:drawing>
      </w:r>
    </w:p>
    <w:p>
      <w:pPr>
        <w:jc w:val="center"/>
      </w:pPr>
      <w:r>
        <w:rPr>
          <w:i/>
          <w:sz w:val="18"/>
        </w:rPr>
        <w:t>图9：低权限用户 savetest 访问全局管理时被服务端拒绝并触发重新登录，未能进入管理控制台</w:t>
      </w:r>
    </w:p>
    <w:p/>
    <w:p>
      <w:pPr>
        <w:pStyle w:val="Heading2"/>
      </w:pPr>
      <w:r>
        <w:t>会话安全</w:t>
      </w:r>
    </w:p>
    <w:p>
      <w:pPr>
        <w:pStyle w:val="Heading3"/>
      </w:pPr>
      <w:r>
        <w:t>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实测服务端下发的会话类 Cookie 均未设置 Secure 标识。取证依据（取自实际 Set-Cookie 响应头，值已脱敏不予记录）：会话标识 JSESSIONID 属性为 Path=/polarion; HttpOnly; SameSite=Lax；防跨站请求令牌 X-CSRF-Token 属性为 Path=/polarion; HttpOnly; SameSite=Strict；认证后追加的 JSESSIONIDSSO 同样未见 Secure。即三类 Cookie 均正确设置了 HttpOnly（可缓解 XSS 窃取 Cookie）与 SameSite（可缓解跨站携带），但均缺失 Secure 标识。结合本次被测入口以明文 HTTP 提供服务且未强制跳转 HTTPS（详见 VULN-001、DATA-001）的事实，缺失 Secure 意味着会话凭据会随明文 HTTP 请求在网络中传输，具备被链路旁路截获并用于会话劫持的现实条件。</w:t>
            </w:r>
          </w:p>
        </w:tc>
      </w:tr>
      <w:tr>
        <w:tc>
          <w:tcPr>
            <w:tcW w:type="dxa" w:w="1872"/>
            <w:shd w:val="clear" w:fill="F2F2F2"/>
          </w:tcPr>
          <w:p>
            <w:r>
              <w:rPr>
                <w:b/>
              </w:rPr>
              <w:t>修复建议</w:t>
            </w:r>
          </w:p>
        </w:tc>
        <w:tc>
          <w:tcPr>
            <w:tcW w:type="dxa" w:w="7488"/>
          </w:tcPr>
          <w:p>
            <w:r>
              <w:t>1、对 JSESSIONID、JSESSIONIDSSO、X-CSRF-Token 等全部会话与安全令牌类 Cookie 补充 Secure 标识，确保仅经 HTTPS 通道传输；2、前置强制全站 HTTPS 并将 HTTP 请求 301 跳转至 HTTPS，使 Secure 标识真正生效；3、保持既有的 HttpOnly 与 SameSite 配置；4、可在反向代理层通过响应头改写统一为 Cookie 追加 Secure 属性，降低应用改造成本。</w:t>
            </w:r>
          </w:p>
        </w:tc>
      </w:tr>
      <w:tr>
        <w:tc>
          <w:tcPr>
            <w:tcW w:type="dxa" w:w="1872"/>
            <w:shd w:val="clear" w:fill="F2F2F2"/>
          </w:tcPr>
          <w:p>
            <w:r>
              <w:rPr>
                <w:b/>
              </w:rPr>
              <w:t>备注</w:t>
            </w:r>
          </w:p>
        </w:tc>
        <w:tc>
          <w:tcPr>
            <w:tcW w:type="dxa" w:w="7488"/>
          </w:tcPr>
          <w:p>
            <w:r>
              <w:t>本报告不记录任何 Cookie 的实际取值。HttpOnly 与 SameSite 已正确配置，本项不符合仅针对 Secure 标识缺失。</w:t>
            </w:r>
          </w:p>
        </w:tc>
      </w:tr>
    </w:tbl>
    <w:p/>
    <w:p>
      <w:pPr>
        <w:pStyle w:val="Heading3"/>
      </w:pPr>
      <w:r>
        <w:t>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实测未发现 CORS 跨域配置缺陷。构造携带恶意来源头 Origin: https://evil.attacker.example 的请求访问应用根路径，服务端响应中不存在 Access-Control-Allow-Origin 响应头，亦不存在 Access-Control-Allow-Credentials 响应头，即服务端未对任意外部来源做跨域放行，不存在通配符 * 或 null 放行、也不存在对 Origin 值的宽松反射。结合 TRAN-002 中观察到的来源强校验行为（Origin/Referer 与后端 Host 不一致时 GWT 接口直接返回 403），系统的跨域与来源控制策略严格。</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t>退出登录后服务端未销毁会话，攻击者可复用登出前的会话凭据继续访问受保护功能，导致会话劫持与越权访问。</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实测退出登录后服务端会话被立即销毁，完成了完整的登出闭环验证：(1) 先以管理员账号登录并确认为认证态——访问应用根路径返回的页面不含登录表单；(2) 保存该认证态下的全部会话 Cookie（JSESSIONID / JSESSIONIDSSO / X-CSRF-Token）；(3) 通过界面左上角设置菜单中的「退出」控件执行真实登出，浏览器随即跳转回登录页面；(4) 随后使用步骤 2 中保存的登出前旧会话 Cookie 重新请求应用根路径，服务端返回的页面重新包含 j_security_check 登录表单，即旧会话凭据已失效、无法继续访问受保护功能。证明登出为服务端会话销毁而非仅清除客户端 Cookie，不存在会话复用风险。</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另实测 /polarion/logout、/polarion/j_security_logout 等常见登出路径返回 404，登出由前端应用经内部接口触发，非独立可猜测的 URL，不构成额外攻击面。</w:t>
            </w:r>
          </w:p>
        </w:tc>
      </w:tr>
    </w:tbl>
    <w:p>
      <w:pPr>
        <w:jc w:val="center"/>
      </w:pPr>
      <w:r>
        <w:drawing>
          <wp:inline xmlns:a="http://schemas.openxmlformats.org/drawingml/2006/main" xmlns:pic="http://schemas.openxmlformats.org/drawingml/2006/picture">
            <wp:extent cx="4937760" cy="2777490"/>
            <wp:docPr id="7" name="Picture 7"/>
            <wp:cNvGraphicFramePr>
              <a:graphicFrameLocks noChangeAspect="1"/>
            </wp:cNvGraphicFramePr>
            <a:graphic>
              <a:graphicData uri="http://schemas.openxmlformats.org/drawingml/2006/picture">
                <pic:pic>
                  <pic:nvPicPr>
                    <pic:cNvPr id="0" name="fig_login_page.png"/>
                    <pic:cNvPicPr/>
                  </pic:nvPicPr>
                  <pic:blipFill>
                    <a:blip r:embed="rId9"/>
                    <a:stretch>
                      <a:fillRect/>
                    </a:stretch>
                  </pic:blipFill>
                  <pic:spPr>
                    <a:xfrm>
                      <a:off x="0" y="0"/>
                      <a:ext cx="4937760" cy="2777490"/>
                    </a:xfrm>
                    <a:prstGeom prst="rect"/>
                  </pic:spPr>
                </pic:pic>
              </a:graphicData>
            </a:graphic>
          </wp:inline>
        </w:drawing>
      </w:r>
    </w:p>
    <w:p>
      <w:pPr>
        <w:jc w:val="center"/>
      </w:pPr>
      <w:r>
        <w:rPr>
          <w:i/>
          <w:sz w:val="18"/>
        </w:rPr>
        <w:t>图6：执行「退出」后跳转回登录页面，复用登出前旧会话 Cookie 已无法访问受保护功能</w:t>
      </w:r>
    </w:p>
    <w:p/>
    <w:p>
      <w:pPr>
        <w:pStyle w:val="Heading3"/>
      </w:pPr>
      <w:r>
        <w:t>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会话空闲超时需保持会话无任何活动并持续观察至预设超时阈值（建议值 30 分钟）之后再验证会话是否失效，该验证需要长时间独占空闲观察窗口，超出本次经隧道检测的可用时间窗口；同时管理端界面未提供可直接读取的会话空闲超时配置项（Polarion 的会话超时由服务端配置承载），故本项不做结论。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建议由系统管理员提供服务端会话空闲超时配置佐证，或安排独立的长时窗口补测；本次已验证登出即时销毁会话（SESS-003 符合）。</w:t>
            </w:r>
          </w:p>
        </w:tc>
      </w:tr>
    </w:tbl>
    <w:p/>
    <w:p>
      <w:pPr>
        <w:pStyle w:val="Heading3"/>
      </w:pPr>
      <w:r>
        <w:t>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实测会话标识由服务端生成且具备唯一性与随机性：(1) 会话标识经服务端 Set-Cookie 响应头下发（JSESSIONID、认证后追加 JSESSIONIDSSO），由容器在服务端创建，客户端无法自定义或预置有效会话标识；(2) 多次获取的会话标识为 32 位十六进制字符串（128 位长度），各次取值互不相同、无可见规律与递增关系，具备足够的取值空间与随机性，不具备被猜测枚举的现实条件；(3) 会话标识在认证状态变更时由服务端重新签发（详见 SESS-006）。为遵守保密要求，本报告不记录任何会话标识的实际取值。</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实测不存在会话固定风险。对照验证过程：(1) 在未认证状态下访问应用，记录服务端下发的初始 JSESSIONID；(2) 携带该会话完成管理员身份认证；(3) 比对认证完成后的会话标识，服务端已重新签发新的 JSESSIONID，与认证前的初始值不同，并同时新增单点登录会话标识 JSESSIONIDSSO。即在认证信息与权限级别发生变化时，服务端重新生成了新的会话标识而非沿用认证前的旧标识，攻击者无法通过预置会话标识劫持他人认证后的会话。结合 SESS-003 已验证登出时旧会话被服务端销毁，会话生命周期管理完整。</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2"/>
      </w:pPr>
      <w:r>
        <w:t>密钥安全</w:t>
      </w:r>
    </w:p>
    <w:p>
      <w:pPr>
        <w:pStyle w:val="Heading3"/>
      </w:pPr>
      <w:r>
        <w:t>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实测未发现密钥在客户端可获取范围内明文存储：(1) 审阅未认证可获取的前端脚本与页面内联脚本，未发现硬编码密钥、令牌或凭据明文（详见 FRON-002）；(2) 探测 /polarion/config.js、WEB-INF/web.xml、.git/config 等可能承载配置与密钥的路径，均未返回真实配置内容（分别为登录页面、登录页面、404）；(3) 认证后确认系统提供集中式凭据托管能力「用户管理 → 用户帐号保险库」，Jenkins、GitLab 等集成凭据以命名键的形式集中托管，界面中对应的凭据值均为掩码状态、不可读取，即集成密钥由保险库统一保管而非散落于代码或配置明文中，符合密钥加密保护与集中调用的要求。</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测试过程中未尝试读取、导出或还原保险库中任何凭据值，仅确认其存在形式与掩码状态。服务端代码与配置文件不在本次应用层检测可及范围，如需完整结论建议补充代码侧密钥扫描。</w:t>
            </w:r>
          </w:p>
        </w:tc>
      </w:tr>
    </w:tbl>
    <w:p/>
    <w:p>
      <w:pPr>
        <w:pStyle w:val="Heading3"/>
      </w:pPr>
      <w:r>
        <w:t>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本系统为部署于内网的研发过程管理平台，认证态下遍历管理端配置未发现使用云平台 AK/SK 进行功能模块调用的场景；「用户帐号保险库」中托管的为 Jenkins 构建、GitLab 代码仓库等研发工具链集成凭据，不属于云管理权限 AK/SK 范畴，亦未见对象存储、云 API 等需要 AK/SK 的调用配置。本项不适用于当前系统。</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若后续接入云服务并引入 AK/SK，应按最小权限原则分模块签发并记录可溯源的调用日志。</w:t>
            </w:r>
          </w:p>
        </w:tc>
      </w:tr>
    </w:tbl>
    <w:p/>
    <w:p>
      <w:pPr>
        <w:pStyle w:val="Heading2"/>
      </w:pPr>
      <w:r>
        <w:t>异常处理</w:t>
      </w:r>
    </w:p>
    <w:p>
      <w:pPr>
        <w:pStyle w:val="Heading3"/>
      </w:pPr>
      <w:r>
        <w:t>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实测认证态页面直接向前端输出了未经处理的服务端异常детали。在「我的 Polarion」个人主页的「等待我校对的工作项」区块，页面以告警框形式原样渲染出如下服务端异常信息：「出现异常情况（请参见服务器日志以了解详细信息）Invocation of method 'getName' in class com.polarion.alm.projects.internal.model.User threw exception class com.polarion.platform.persistence.UnresolvableObjectException : uri: subterra:data-service:objects:/default/${User}8006501」。该报错向使用者暴露了：应用内部 Java 包结构与实现类全限定名（com.polarion.alm.projects.internal.model.User、com.polarion.platform.persistence.UnresolvableObjectException）、内部持久层异常类型、以及内部对象存储的 URI 寻址格式与对象标识（subterra:data-service:objects:/default/...）。攻击者可据此推断后端技术栈、持久层实现与内部对象命名寻址规则，为进一步构造针对性攻击提供信息。</w:t>
            </w:r>
          </w:p>
        </w:tc>
      </w:tr>
      <w:tr>
        <w:tc>
          <w:tcPr>
            <w:tcW w:type="dxa" w:w="1872"/>
            <w:shd w:val="clear" w:fill="F2F2F2"/>
          </w:tcPr>
          <w:p>
            <w:r>
              <w:rPr>
                <w:b/>
              </w:rPr>
              <w:t>修复建议</w:t>
            </w:r>
          </w:p>
        </w:tc>
        <w:tc>
          <w:tcPr>
            <w:tcW w:type="dxa" w:w="7488"/>
          </w:tcPr>
          <w:p>
            <w:r>
              <w:t>1、建立统一的全局异常处理机制，对前端仅返回不含技术细节的友好提示与可用于运维定位的追踪编号（trace id），完整堆栈与内部类名仅写入服务端日志；2、关闭生产环境的详细错误回显与调试输出；3、对本次暴露的对象解析异常做数据侧修复——该报错由工作项引用了已不存在的用户对象导致，应清理失效引用，避免异常持续触发；4、将「错误信息不外泄」纳入上线前安全基线核查项，对各业务页面的异常分支统一回归。</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480417"/>
            <wp:docPr id="8" name="Picture 8"/>
            <wp:cNvGraphicFramePr>
              <a:graphicFrameLocks noChangeAspect="1"/>
            </wp:cNvGraphicFramePr>
            <a:graphic>
              <a:graphicData uri="http://schemas.openxmlformats.org/drawingml/2006/picture">
                <pic:pic>
                  <pic:nvPicPr>
                    <pic:cNvPr id="0" name="fig_info001_error.png"/>
                    <pic:cNvPicPr/>
                  </pic:nvPicPr>
                  <pic:blipFill>
                    <a:blip r:embed="rId12"/>
                    <a:stretch>
                      <a:fillRect/>
                    </a:stretch>
                  </pic:blipFill>
                  <pic:spPr>
                    <a:xfrm>
                      <a:off x="0" y="0"/>
                      <a:ext cx="4937760" cy="2480417"/>
                    </a:xfrm>
                    <a:prstGeom prst="rect"/>
                  </pic:spPr>
                </pic:pic>
              </a:graphicData>
            </a:graphic>
          </wp:inline>
        </w:drawing>
      </w:r>
    </w:p>
    <w:p>
      <w:pPr>
        <w:jc w:val="center"/>
      </w:pPr>
      <w:r>
        <w:rPr>
          <w:i/>
          <w:sz w:val="18"/>
        </w:rPr>
        <w:t>图7：认证态页面原样回显服务端 Java 异常类名与内部对象存储 URI</w:t>
      </w:r>
    </w:p>
    <w:p/>
    <w:p>
      <w:pPr>
        <w:pStyle w:val="Heading2"/>
      </w:pPr>
      <w:r>
        <w:t>业务安全</w:t>
      </w:r>
    </w:p>
    <w:p>
      <w:pPr>
        <w:pStyle w:val="Heading3"/>
      </w:pPr>
      <w:r>
        <w:t>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具备文档与工作项附件上传能力（认证后可用）。对该功能开展安全验证需实际上传测试文件，包括构造可解析脚本后缀、双后缀、超长后缀等绕过样本并尝试访问其解析结果，属于向生产系统写入文件的变更类操作，且存在遗留测试文件与触发脚本解析的风险，违反最小影响原则与不修改生产数据的约束，本次未执行，故不做结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建议在与生产同构的测试环境补测文件上传的后缀白名单、服务端校验、存储路径可控性与竞争上传等场景。</w:t>
            </w:r>
          </w:p>
        </w:tc>
      </w:tr>
    </w:tbl>
    <w:p/>
    <w:p>
      <w:pPr>
        <w:pStyle w:val="Heading3"/>
      </w:pPr>
      <w:r>
        <w:t>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t>文件下载权限设计不当，攻击者可未授权下载或越权读取非预期目录文件，造成敏感数据泄露。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文件下载安全需验证未授权下载、越权读取他人附件、以及通过路径参数下载非预期目录文件等场景，前两者需要低权限对照账号（本次未提供，同 PER-002），后者需对下载参数做遍历与穿越构造并观察是否读出非预期文件，属于可能触及他人业务数据的操作，在最小影响原则下未执行，故不做结论。已确认的事实：未认证状态下访问应用受保护路径均被重定向至登录页面或返回 401，附件类资源不存在未认证直接下载的入口。</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建议客户提供低权限对照账号后，在测试环境补测越权下载与路径穿越下载。</w:t>
            </w:r>
          </w:p>
        </w:tc>
      </w:tr>
    </w:tbl>
    <w:p/>
    <w:p>
      <w:pPr>
        <w:pStyle w:val="Heading3"/>
      </w:pPr>
      <w:r>
        <w:t>多线程条件竞争安全测试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多线程条件竞争安全测试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多线程条件竞争验证需对同一业务对象并发提交重复的状态变更或资源消耗类请求，并观察是否突破唯一性与配额约束，属于会实际创建、修改生产业务数据并可能造成数据不一致的操作，违反最小影响原则与不修改生产数据的约束，本次未执行，故不做结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本系统为研发过程管理平台，不涉及积分、库存、下单等典型竞争获利场景，实际风险敞口相对有限；建议在测试环境补测工作项并发创建与工作流并发流转场景。</w:t>
            </w:r>
          </w:p>
        </w:tc>
      </w:tr>
    </w:tbl>
    <w:p/>
    <w:p>
      <w:pPr>
        <w:pStyle w:val="Heading3"/>
      </w:pPr>
      <w:r>
        <w:t>重要数据类型验证安全测试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重要数据类型验证需对业务请求的关键参数分别赋空值、0、负数、超大数值、超长字符串、控制字符，以及删除参数键值后提交，观察服务端的非预期行为，该过程需持续向生产系统提交畸形的业务写入请求，会创建或污染生产业务数据并可能触发服务端异常，违反最小影响原则与不修改生产数据的约束，本次未执行，故不做结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本项风险参考等级为高，建议在与生产同构的测试环境优先安排补测。</w:t>
            </w:r>
          </w:p>
        </w:tc>
      </w:tr>
    </w:tbl>
    <w:p/>
    <w:p>
      <w:pPr>
        <w:pStyle w:val="Heading3"/>
      </w:pPr>
      <w:r>
        <w:t>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业务流程非预期执行验证需要尝试跳过、颠倒或重放工作流中的关键环节（如绕过评审直接进入已批准状态、跳过签署环节完成文档定版），属于会实际改变生产业务对象状态与审批记录的操作，违反最小影响原则与不修改生产数据的约束，本次未执行，故不做结论。已观察到的事实：系统具备文档签署、工作项审批、评审等多环节流程编排能力，认证态下可见「等待我签名的文档」「等待我批准的工作项」「已批准/已驳回」等状态分区，流程状态由服务端统一维护。</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建议在测试环境针对文档签署与工作项审批流程补测越过环节的非预期执行。</w:t>
            </w:r>
          </w:p>
        </w:tc>
      </w:tr>
    </w:tbl>
    <w:p/>
    <w:p>
      <w:pPr>
        <w:pStyle w:val="Heading2"/>
      </w:pPr>
      <w:r>
        <w:t>日志审计</w:t>
      </w:r>
    </w:p>
    <w:p>
      <w:pPr>
        <w:pStyle w:val="Heading3"/>
      </w:pPr>
      <w:r>
        <w:t>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实测系统具备完善的审计日志记录能力：(1) 项目主页「Activities」区块以时间线形式持续记录平台内的变更活动，可实时查看；(2) 每个业务对象（工作项、文档）均提供独立的「历史记录」入口，基于版本化存储保留逐次修订记录，可回溯任意一次变更；(3) 审计记录由服务端在业务操作时自动生成，界面未提供任何编辑或删除单条审计/历史记录的入口，普通操作无法篡改或抹除既有记录；(4) 「Activities」区块提供检索框，支持对活动记录进行查询过滤，具备日志查询能力。</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77490"/>
            <wp:docPr id="9" name="Picture 9"/>
            <wp:cNvGraphicFramePr>
              <a:graphicFrameLocks noChangeAspect="1"/>
            </wp:cNvGraphicFramePr>
            <a:graphic>
              <a:graphicData uri="http://schemas.openxmlformats.org/drawingml/2006/picture">
                <pic:pic>
                  <pic:nvPicPr>
                    <pic:cNvPr id="0" name="fig02_portal.png"/>
                    <pic:cNvPicPr/>
                  </pic:nvPicPr>
                  <pic:blipFill>
                    <a:blip r:embed="rId13"/>
                    <a:stretch>
                      <a:fillRect/>
                    </a:stretch>
                  </pic:blipFill>
                  <pic:spPr>
                    <a:xfrm>
                      <a:off x="0" y="0"/>
                      <a:ext cx="4937760" cy="2777490"/>
                    </a:xfrm>
                    <a:prstGeom prst="rect"/>
                  </pic:spPr>
                </pic:pic>
              </a:graphicData>
            </a:graphic>
          </wp:inline>
        </w:drawing>
      </w:r>
    </w:p>
    <w:p>
      <w:pPr>
        <w:jc w:val="center"/>
      </w:pPr>
      <w:r>
        <w:rPr>
          <w:i/>
          <w:sz w:val="18"/>
        </w:rPr>
        <w:t>图8：项目主页 Activities 审计活动时间线，记录平台内各项变更并支持检索</w:t>
      </w:r>
    </w:p>
    <w:p/>
    <w:p>
      <w:pPr>
        <w:pStyle w:val="Heading3"/>
      </w:pPr>
      <w:r>
        <w:t>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实测审计记录内容具备可溯源的关键要素。以 Activities 中的实际记录为例，每条记录均包含：操作账号（如 System Administrator，并附头像标识）、操作时间（相对时间展示，可定位到具体修订）、操作动作（已创建 / 已更新 / 已删除）、以及操作对象（工作项类型图标、工作项编号与标题，可直接跳转至该对象）。对于更新类记录，还进一步展开了具体变更内容（如负责人字段变更、出口链接工作项关系变更），可精确还原「谁在何时对哪个对象做了什么修改」。工作项历史记录同样按修订版本保存变更前后的字段值，满足操作日志的内容要求。</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登录/登出日志及其中的登录 IP、登录结果由服务端日志承载，应用界面未提供对应查询视图，本次未能在应用层取证；建议由系统管理员提供服务端认证日志样例（含登录时间、登录 IP、登录账号、登录结果）以完善该子项佐证。</w:t>
            </w:r>
          </w:p>
        </w:tc>
      </w:tr>
    </w:tbl>
    <w:p/>
    <w:p>
      <w:pPr>
        <w:pStyle w:val="Heading3"/>
      </w:pPr>
      <w:r>
        <w:t>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审计日志的存储保留时长为服务端日志与存储策略的后台配置项，应用界面未提供日志保留周期的可读配置或统计视图，无法通过黑盒或认证态观察验证是否达到 6 个月及以上，故本项不做结论。已观察到的事实：业务对象的变更历史基于版本化存储长期保留，不随时间自动清理。</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建议由系统管理员提供审计日志保留周期配置、日志归档与备份策略作为佐证。</w:t>
            </w:r>
          </w:p>
        </w:tc>
      </w:tr>
    </w:tbl>
    <w:p/>
    <w:p>
      <w:pPr>
        <w:pStyle w:val="Heading2"/>
      </w:pPr>
      <w:r>
        <w:t>数据安全</w:t>
      </w:r>
    </w:p>
    <w:p>
      <w:pPr>
        <w:pStyle w:val="Heading3"/>
      </w:pPr>
      <w:r>
        <w:t>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实测被测入口以明文 HTTP 承载全部交互，敏感数据未经传输层加密保护。取证依据：(1) 目标以 TCP/80 提供服务，登录页面、认证请求与认证后的全部业务交互均经明文 HTTP 完成；(2) 身份认证请求 POST /polarion/j_security_check 中的用户名与口令以明文表单形式在网络中传输，未做任何应用层加密；(3) 会话凭据 JSESSIONID / JSESSIONIDSSO 随明文请求往返且未设置 Secure 标识（详见 SESS-001）；(4) 认证后的业务响应中包含真实姓名、企业邮箱等个人信息（详见 DATA-002），同样以明文传输；(5) 访问 /polarion 时服务端 302 跳转至同协议的 /polarion/，未观察到任何指向 HTTPS 的强制跳转。任何可旁路链路流量的中间人均可直接还原凭据、会话与个人信息。</w:t>
            </w:r>
          </w:p>
        </w:tc>
      </w:tr>
      <w:tr>
        <w:tc>
          <w:tcPr>
            <w:tcW w:type="dxa" w:w="1872"/>
            <w:shd w:val="clear" w:fill="F2F2F2"/>
          </w:tcPr>
          <w:p>
            <w:r>
              <w:rPr>
                <w:b/>
              </w:rPr>
              <w:t>修复建议</w:t>
            </w:r>
          </w:p>
        </w:tc>
        <w:tc>
          <w:tcPr>
            <w:tcW w:type="dxa" w:w="7488"/>
          </w:tcPr>
          <w:p>
            <w:r>
              <w:t>1、为该应用启用 HTTPS 并使用 TLS 1.2 及以上版本，配置符合要求的加密套件与有效证书；2、在 Apache/反向代理层将全部 HTTP 请求 301 强制跳转至 HTTPS，关闭明文 80 端口的业务承载；3、配合为全部会话类 Cookie 补充 Secure 标识（见 SESS-001），使加密通道约束真正生效；4、服务端已下发 Strict-Transport-Security 响应头，但该头在明文 HTTP 响应中会被浏览器忽略，需在完成 HTTPS 强制跳转后才能实际发挥作用。</w:t>
            </w:r>
          </w:p>
        </w:tc>
      </w:tr>
      <w:tr>
        <w:tc>
          <w:tcPr>
            <w:tcW w:type="dxa" w:w="1872"/>
            <w:shd w:val="clear" w:fill="F2F2F2"/>
          </w:tcPr>
          <w:p>
            <w:r>
              <w:rPr>
                <w:b/>
              </w:rPr>
              <w:t>备注</w:t>
            </w:r>
          </w:p>
        </w:tc>
        <w:tc>
          <w:tcPr>
            <w:tcW w:type="dxa" w:w="7488"/>
          </w:tcPr>
          <w:p>
            <w:r>
              <w:t>说明：本次经内网 TCP 隧道仅能接入目标的 80 端口，未能探测目标是否同时开放 443 端口及其 TLS 版本与套件配置。上述结论针对本次实际被测的 HTTP/80 入口成立；若生产环境另有强制 HTTPS 的前置入口，请提供佐证后据实复评。</w:t>
            </w:r>
          </w:p>
        </w:tc>
      </w:tr>
    </w:tbl>
    <w:p/>
    <w:p>
      <w:pPr>
        <w:pStyle w:val="Heading3"/>
      </w:pPr>
      <w:r>
        <w:t>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实测管理端页面对个人信息未做默认脱敏展示。在「管理 → 用户管理 → 用户」列表页，系统以表格形式一次性完整展示全部在册账号（本次观察约 45 个）的 ID、姓名、电子邮件、描述、角色与项目工作分配等字段，其中真实姓名与企业电子邮箱均以完整明文直接呈现，未做任何掩码处理，也未采用「默认脱敏 + 点击显示详情逐个明文查看」的展示方式。此外，业务侧的活动记录与工作项负责人字段中亦直接展示员工真实姓名。任何取得管理端访问权限的人员或通过录屏、截图等方式旁观界面者，均可批量获取全量员工个人信息。</w:t>
            </w:r>
          </w:p>
        </w:tc>
      </w:tr>
      <w:tr>
        <w:tc>
          <w:tcPr>
            <w:tcW w:type="dxa" w:w="1872"/>
            <w:shd w:val="clear" w:fill="F2F2F2"/>
          </w:tcPr>
          <w:p>
            <w:r>
              <w:rPr>
                <w:b/>
              </w:rPr>
              <w:t>修复建议</w:t>
            </w:r>
          </w:p>
        </w:tc>
        <w:tc>
          <w:tcPr>
            <w:tcW w:type="dxa" w:w="7488"/>
          </w:tcPr>
          <w:p>
            <w:r>
              <w:t>1、对用户列表等批量展示个人信息的页面实施默认脱敏，电子邮箱按「首字符 + *** + @域名」形式掩码、姓名按「姓 + *」形式掩码；2、提供「显示详情」的逐条明文查看入口，并对明文查看行为记录操作日志（操作人、时间、被查看对象）；3、按最小必要原则收敛列表默认展示字段，非必要不在列表中直接呈现电子邮箱；4、对批量查看与导出个人信息的行为增加权限约束与审计。</w:t>
            </w:r>
          </w:p>
        </w:tc>
      </w:tr>
      <w:tr>
        <w:tc>
          <w:tcPr>
            <w:tcW w:type="dxa" w:w="1872"/>
            <w:shd w:val="clear" w:fill="F2F2F2"/>
          </w:tcPr>
          <w:p>
            <w:r>
              <w:rPr>
                <w:b/>
              </w:rPr>
              <w:t>备注</w:t>
            </w:r>
          </w:p>
        </w:tc>
        <w:tc>
          <w:tcPr>
            <w:tcW w:type="dxa" w:w="7488"/>
          </w:tcPr>
          <w:p>
            <w:r>
              <w:t>依据保密与个人信息保护要求，本报告不附带用户列表原始截图，相关取证材料以脱敏方式留存于测试方私有证据库，不随报告交付。</w:t>
            </w:r>
          </w:p>
        </w:tc>
      </w:tr>
    </w:tbl>
    <w:p/>
    <w:p>
      <w:pPr>
        <w:pStyle w:val="Heading3"/>
      </w:pPr>
      <w:r>
        <w:t>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具备数据导出能力（工作项列表与报表区块均提供导出入口，支持导出为常见办公文档格式）。对该项的完整验证需实际执行一次包含个人信息的导出操作，以确认导出是否经过审批流程管控、是否记录导出行为日志、以及导出文件是否加密。实际执行导出会将包含员工真实姓名与企业邮箱的个人信息落地为本地文件，与保密要求及不导出原始个人信息的约束冲突，本次未执行，故不做结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已观察到导出入口在管理员权限下直接可用，界面未见导出前的审批环节提示；该观察不足以单独构成结论，建议由客户在测试环境或以不含真实个人信息的数据集补测导出审批、日志与加密三项要求。</w:t>
            </w:r>
          </w:p>
        </w:tc>
      </w:tr>
    </w:tbl>
    <w:p/>
    <w:p>
      <w:pPr>
        <w:pStyle w:val="Heading2"/>
      </w:pPr>
      <w:r>
        <w:t>常见漏洞</w:t>
      </w:r>
    </w:p>
    <w:p>
      <w:pPr>
        <w:pStyle w:val="Heading3"/>
      </w:pPr>
      <w:r>
        <w:t>HTTPS协议安全测试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HTTPS协议安全测试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实测被测入口未部署 HTTPS 加密传输。取证依据：(1) 目标经 TCP/80 提供服务，未认证登录页面、认证接口与认证后业务页面全部以明文 HTTP 正常返回，应用可在纯 HTTP 下完整使用；(2) 请求 /polarion 时服务端返回 302，Location 指向同为 HTTP 协议的 /polarion/，未配置任何 HTTP 到 HTTPS 的强制跳转；(3) 服务端虽下发 Strict-Transport-Security: max-age=31536000; includeSubDomains 响应头，但该响应头由明文 HTTP 响应下发时会被浏览器直接忽略，无法起到强制加密作用，属于配置未生效状态。综上，在本次被测的入口上不存在有效的传输加密。</w:t>
            </w:r>
          </w:p>
        </w:tc>
      </w:tr>
      <w:tr>
        <w:tc>
          <w:tcPr>
            <w:tcW w:type="dxa" w:w="1872"/>
            <w:shd w:val="clear" w:fill="F2F2F2"/>
          </w:tcPr>
          <w:p>
            <w:r>
              <w:rPr>
                <w:b/>
              </w:rPr>
              <w:t>修复建议</w:t>
            </w:r>
          </w:p>
        </w:tc>
        <w:tc>
          <w:tcPr>
            <w:tcW w:type="dxa" w:w="7488"/>
          </w:tcPr>
          <w:p>
            <w:r>
              <w:t>1、为应用签发并部署有效证书，启用 HTTPS，且仅启用 TLS 1.2 及以上版本，禁用 TLS 1.0/1.1 及 RC4、DES、3DES、MD5 等弱加密套件；2、优先选用支持前向保密（PFS）的 ECDHE 系列套件；3、在 Apache/反向代理层配置 HTTP 到 HTTPS 的 301 强制跳转，并在完成跳转后使既有 HSTS 策略生效；4、定期使用工具复核 TLS 配置与证书有效期。</w:t>
            </w:r>
          </w:p>
        </w:tc>
      </w:tr>
      <w:tr>
        <w:tc>
          <w:tcPr>
            <w:tcW w:type="dxa" w:w="1872"/>
            <w:shd w:val="clear" w:fill="F2F2F2"/>
          </w:tcPr>
          <w:p>
            <w:r>
              <w:rPr>
                <w:b/>
              </w:rPr>
              <w:t>备注</w:t>
            </w:r>
          </w:p>
        </w:tc>
        <w:tc>
          <w:tcPr>
            <w:tcW w:type="dxa" w:w="7488"/>
          </w:tcPr>
          <w:p>
            <w:r>
              <w:t>说明：本次经内网 TCP 隧道仅映射目标 80 端口，无法连接 443 端口，故未能实测 TLS 协议版本与加密套件配置，本项结论针对实际被测的 HTTP/80 入口「未启用/未强制加密传输」这一事实成立。若目标另有 HTTPS 入口，请提供后补测 TLS 版本与套件。</w:t>
            </w:r>
          </w:p>
        </w:tc>
      </w:tr>
    </w:tbl>
    <w:p/>
    <w:p>
      <w:pPr>
        <w:pStyle w:val="Heading3"/>
      </w:pPr>
      <w:r>
        <w:t>HTTP请求方法安全测试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HTTP请求方法安全测试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实测未启用危险 HTTP 请求方法。取证依据：(1) 对服务根路径发起 OPTIONS 请求，服务端返回的 Allow 头为 GET,POST,OPTIONS,HEAD，明确不含 PUT、DELETE、CONNECT；(2) 发起 TRACE 请求，服务端返回 501 Not Implemented，TRACE 已被禁用，不存在 XST 攻击面；(3) 以非破坏性方式验证写入类方法：向一个不存在的随机路径发起 PUT 请求，服务端返回 405 Method Not Allowed，随后 GET 该路径返回 404，确认文件未被创建，写入类方法确实不可用；(4) 对应用路径 /polarion/ 发起 PUT/DELETE 时返回的是认证登录页面，说明此类请求先被认证过滤器拦截，不会到达业务处理逻辑，未产生任何资源变更。</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验证过程严格遵循非破坏性原则，仅向不存在的随机路径发起单次 PUT 并确认未落地文件，未对任何既有资源执行写入或删除。</w:t>
            </w:r>
          </w:p>
        </w:tc>
      </w:tr>
    </w:tbl>
    <w:p/>
    <w:p>
      <w:pPr>
        <w:pStyle w:val="Heading3"/>
      </w:pPr>
      <w:r>
        <w:t>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实测系统存在可成功登录的弱口令账号。客户提供的低权限账号 savetest 其口令为一个 6 位纯数字弱口令——属于公认的 Top 弱口令（长度仅 6 位、单一字符类型、无任何复杂度），实测以该口令可直接通过 j_security_check 完成认证（服务端下发 JSESSIONIDSSO 单点登录会话标识，登录后可正常访问业务页面）。说明系统允许弱口令存在且可用于实际登录，未对现有账号口令强度做有效约束，存在被猜解/撞库风险。</w:t>
            </w:r>
          </w:p>
        </w:tc>
      </w:tr>
      <w:tr>
        <w:tc>
          <w:tcPr>
            <w:tcW w:type="dxa" w:w="1872"/>
            <w:shd w:val="clear" w:fill="F2F2F2"/>
          </w:tcPr>
          <w:p>
            <w:r>
              <w:rPr>
                <w:b/>
              </w:rPr>
              <w:t>修复建议</w:t>
            </w:r>
          </w:p>
        </w:tc>
        <w:tc>
          <w:tcPr>
            <w:tcW w:type="dxa" w:w="7488"/>
          </w:tcPr>
          <w:p>
            <w:r>
              <w:t>1、强制全量账号口令符合复杂度要求（长度≥八位，同时包含大小写字母、数字与特殊字符中至少三类），并在服务端强制校验；2、建立弱口令/常见口令黑名单（如纯数字、password、账号名相同等）并禁止使用；3、对存量账号开展一次弱口令排查，强制使用弱口令的账号首次登录改密；4、配合登录锁定（AUTH-006 已具备）与人机验证（AUTH-001）形成防爆破闭环。</w:t>
            </w:r>
          </w:p>
        </w:tc>
      </w:tr>
      <w:tr>
        <w:tc>
          <w:tcPr>
            <w:tcW w:type="dxa" w:w="1872"/>
            <w:shd w:val="clear" w:fill="F2F2F2"/>
          </w:tcPr>
          <w:p>
            <w:r>
              <w:rPr>
                <w:b/>
              </w:rPr>
              <w:t>备注</w:t>
            </w:r>
          </w:p>
        </w:tc>
        <w:tc>
          <w:tcPr>
            <w:tcW w:type="dxa" w:w="7488"/>
          </w:tcPr>
          <w:p>
            <w:r>
              <w:t>本报告仅描述弱口令这一事实用于整改定位，不在交付物中保留口令原文以外的敏感信息。未对其他账号开展口令猜测/爆破。</w:t>
            </w:r>
          </w:p>
        </w:tc>
      </w:tr>
    </w:tbl>
    <w:p/>
    <w:p>
      <w:pPr>
        <w:pStyle w:val="Heading3"/>
      </w:pPr>
      <w:r>
        <w:t>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XSS 验证需向工作项标题、描述、评注、文档正文等可持久化的富文本输入点提交脚本载荷，并观察其在其他用户视图中的渲染与执行情况。该过程会在生产系统中创建并留存含攻击载荷的业务数据，且存储型 XSS 一旦成功将实际影响访问同一对象的其他真实用户，违反最小影响原则与不修改生产数据的约束，本次未执行，故不做结论。已观察到的相关安全配置：服务端下发了内容安全策略 Content-Security-Policy 与 X-XSS-Protection: 1; mode=block、X-Content-Type-Options: nosniff 响应头，且全部会话 Cookie 均设置了 HttpOnly（可缓解 XSS 窃取 Cookie）。</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需提示：现有 CSP 策略的 script-src 指令包含 'unsafe-inline' 与 'unsafe-eval'，会显著削弱 CSP 对 XSS 的缓解效果；建议在测试环境补测 XSS 的同时，评估收敛 CSP 中的 unsafe-inline/unsafe-eval。该观察为配置事实，未据此判定漏洞。</w:t>
            </w:r>
          </w:p>
        </w:tc>
      </w:tr>
    </w:tbl>
    <w:p/>
    <w:p>
      <w:pPr>
        <w:pStyle w:val="Heading3"/>
      </w:pPr>
      <w:r>
        <w:t>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XXE 验证需向系统的 XML 解析入口（如文档导入、ReqIF 需求交换文件导入等）提交包含外部实体引用的构造 XML，并观察是否发生外部实体解析与带外请求。该操作需向生产系统上传构造文件并可能触发服务端向外发起请求，属于变更类与探测性操作，违反最小影响原则，本次未执行，故不做结论。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建议在与生产同构的测试环境针对文档/需求导入等 XML 解析入口补测 XXE。</w:t>
            </w:r>
          </w:p>
        </w:tc>
      </w:tr>
    </w:tbl>
    <w:p/>
    <w:p>
      <w:pPr>
        <w:pStyle w:val="Heading3"/>
      </w:pPr>
      <w:r>
        <w:t>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实测系统具备有效的 CSRF 防护机制：(1) 服务端为每个会话下发独立的防跨站请求令牌 Cookie X-CSRF-Token，属性为 HttpOnly、SameSite=Strict，第三方站点发起的跨站请求无法携带该 Cookie；(2) 登录表单中额外包含服务端签发的 csrfToken 隐藏域参数，状态变更请求需携带与会话匹配的令牌；(3) 会话主 Cookie JSESSIONID 设置了 SameSite=Lax，默认阻断第三方站点发起的跨站写请求；(4) 服务端另有独立的令牌校验端点 /polarion/gwt/com.polarion.UI/xsrf，且对请求来源做强校验——当请求的 Origin/Referer 与服务端预期来源不一致时直接返回 403 拒绝，来源一致时方返回 200。多重机制叠加，未发现可被跨站伪造的状态变更入口。</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来源强校验为本次经隧道访问时实际触发并观察到的服务端行为，属实测证据而非配置推断。</w:t>
            </w:r>
          </w:p>
        </w:tc>
      </w:tr>
    </w:tbl>
    <w:p/>
    <w:p>
      <w:pPr>
        <w:pStyle w:val="Heading3"/>
      </w:pPr>
      <w:r>
        <w:t>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SSRF 验证需要定位由服务端发起外部请求的功能点（如外部系统集成回调、远程资源引用、Webhook 配置等），并将其目标地址替换为内网地址或带外探测地址以观察服务端的请求行为。该测试会实际驱动生产服务器向指定地址发起请求，并需修改集成类配置，属于变更类与探测性操作，违反最小影响原则与不修改生产配置的约束，本次未执行，故不做结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已观察到系统存在 Jenkins、GitLab 等外部系统集成配置（凭据托管于用户帐号保险库），此类集成通常涉及服务端外发请求，建议在测试环境优先针对集成配置项补测 SSRF。本项风险参考等级为高。</w:t>
            </w:r>
          </w:p>
        </w:tc>
      </w:tr>
    </w:tbl>
    <w:p/>
    <w:p>
      <w:pPr>
        <w:pStyle w:val="Heading3"/>
      </w:pPr>
      <w:r>
        <w:t>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SQL 注入验证需向业务查询与写入参数持续提交注入探测载荷（包括布尔盲注、时间盲注等），时间盲注会主动造成服务端延迟、报错型探测可能产生大量异常日志甚至影响数据一致性，违反最小影响原则与不执行破坏性注入类测试的约束，本次未执行，故不做结论。已确认的有限事实：在登录接口提交的少量异常输入未引发任何数据库层错误回显，响应保持统一的认证失败形态；系统的工作项数据基于 Polarion 自有的对象化持久层（subterra 对象存储）而非直接暴露的 SQL 查询接口，但这不足以单独作为不存在注入的结论依据。</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本项风险参考等级为高，建议在与生产同构的测试环境授权后补测，重点覆盖工作项查询（Lucene/SQL 查询语法入口）与报表参数。</w:t>
            </w:r>
          </w:p>
        </w:tc>
      </w:tr>
    </w:tbl>
    <w:p/>
    <w:p>
      <w:pPr>
        <w:pStyle w:val="Heading3"/>
      </w:pPr>
      <w:r>
        <w:t>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实测当前系统未启用 LDAP 目录服务认证，不存在 LDAP 查询注入的攻击面。取证依据：管理端「管理 → 用户管理 → 身份验证」配置中，实际生效的认证提供者为本地口令方式，配置中的 LDAP 相关段落为注释状态的示例配置、未启用；「用户管理」树中虽存在「LDAP同步」节点，但当前认证链路未接入 LDAP，登录认证不经由 LDAP 目录查询。本项不适用于当前系统状态。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若后续启用 LDAP 认证或 LDAP 同步，应重新评估本项，对用户可控输入中的 LDAP 特殊字符做转义与白名单校验。</w:t>
            </w:r>
          </w:p>
        </w:tc>
      </w:tr>
    </w:tbl>
    <w:p/>
    <w:p>
      <w:pPr>
        <w:pStyle w:val="Heading3"/>
      </w:pPr>
      <w:r>
        <w:t>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文件包含验证需定位以参数控制被加载资源路径的功能点，并提交路径穿越与协议头构造载荷观察是否读出非预期文件。该测试需对业务参数做遍历式穿越构造，可能触及非预期的服务端文件与他人业务数据，在最小影响原则下未执行，故不做结论。已确认的有限事实：以路径穿越形式请求 /polarion/../WEB-INF/web.xml 返回 404，未读出部署描述符；直接请求 /polarion/WEB-INF/web.xml 返回的是认证登录页面，未泄露文件内容。</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系统为 Java/GWT 架构，不存在 PHP include 类典型文件包含函数，但仍建议在测试环境针对附件下载、图标与资源加载类参数补测路径穿越。</w:t>
            </w:r>
          </w:p>
        </w:tc>
      </w:tr>
    </w:tbl>
    <w:p/>
    <w:p>
      <w:pPr>
        <w:pStyle w:val="Heading3"/>
      </w:pPr>
      <w:r>
        <w:t>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反序列化验证需向服务端提交精心构造的恶意序列化数据以观察是否触发非预期对象实例化与命令执行。该类载荷一旦成功即等同于远程代码执行，具有高度破坏性，明确违反最小影响原则与不执行反序列化、RCE 类破坏性测试的约束，本次未执行，故不做结论。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本项风险参考等级为高。建议以代码审计与依赖组件漏洞扫描（SCA）方式替代黑盒验证，重点核查 Java 原生序列化入口与第三方库的已知反序列化利用链。</w:t>
            </w:r>
          </w:p>
        </w:tc>
      </w:tr>
    </w:tbl>
    <w:p/>
    <w:p>
      <w:pPr>
        <w:pStyle w:val="Heading3"/>
      </w:pPr>
      <w:r>
        <w:t>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远程命令执行验证需向服务端提交命令注入载荷并观察系统命令是否被实际执行，属于明确的破坏性测试，会直接危及生产系统的完整性与可用性，违反最小影响原则与不执行 RCE 类测试的约束，本次未执行，故不做结论。特别说明：本次检测全程未创建或执行任何 Polarion 平台内的任务、脚本或作业。</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Polarion 平台自身具备计划任务与脚本执行能力（管理员权限可用），该能力属于产品设计功能，本次未对其开展利用性测试；建议从权限管控角度限制可创建/执行作业的账号范围，并对作业执行行为审计。</w:t>
            </w:r>
          </w:p>
        </w:tc>
      </w:tr>
    </w:tbl>
    <w:p/>
    <w:p>
      <w:pPr>
        <w:pStyle w:val="Heading3"/>
      </w:pPr>
      <w:r>
        <w:t>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实测未发现暗链植入。审阅未认证登录页面与认证后门户页面的完整 HTML 源码，逐一核对页面内全部超链接的指向：外部链接均指向厂商官方域名（support.sw.siemens.com、blogs.sw.siemens.com、community.sw.siemens.com、extensions.polarion.com、polarion.plm.automation.siemens.com、www.siemens.com 隐私声明等），其余为应用自身的相对路径链接；未发现指向博彩、色情、钓鱼等第三方站点的隐藏链接，未发现以 display:none、字体与背景同色、超小字号或屏幕外定位等方式隐藏的异常锚点。</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3、安全配置：遵循最佳安全实践，确保框架和中间件的配置是安全的，不要依赖默认配置。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实测未发现开发框架与中间件层面可被利用的安全缺陷。取证依据：(1) 应用层为 Siemens Polarion ALM 2512（2025 年 11 月构建），为厂商当前发布版本，非长期失修的历史版本；(2) 承载层为 Apache/2.4.58，针对该层常见风险点逐一验证——TRACE 已禁用（501）、写入类方法不可用（Allow 仅 GET,POST,OPTIONS,HEAD）、/server-status 返回 403 未对外开放；(3) 针对 Java 技术栈常见的框架级未授权暴露面（Spring Boot Actuator 及其 env 端点、Swagger UI、api-docs、WEB-INF/web.xml）逐一探测，均未返回真实内容，全部被认证过滤器拦截或返回 404；(4) 未发现任何框架默认页面、示例应用或调试端点对外暴露。依据「不以版本号直接判定漏洞」原则，在未观察到可利用面的前提下判定为符合。</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Apache 2.4.58 并非 2.4.x 最新维护版本，建议纳入常态化补丁管理，随厂商安全公告及时升级；同时建议定期对 Polarion 与其依赖组件执行 SCA 扫描，以覆盖黑盒无法触及的依赖层漏洞。</w:t>
            </w:r>
          </w:p>
        </w:tc>
      </w:tr>
    </w:tbl>
    <w:p/>
    <w:p>
      <w:pPr>
        <w:pStyle w:val="Heading3"/>
      </w:pPr>
      <w:r>
        <w:t>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实测未发现未授权访问漏洞。对常见未授权暴露路径逐一探测并逐条比对响应体特征，结果如下：/polarion/actuator 与 /polarion/actuator/env、/polarion/swagger-ui/index.html、/polarion/v2/api-docs、/polarion/WEB-INF/web.xml、/polarion/config.js 均返回同一份约 8KB 的认证登录页面（响应体含 j_security_check 登录表单），即被认证过滤器统一拦截而非暴露真实内容；/.git/config 返回 404；/polarion/../WEB-INF/web.xml 返回 404；/server-status 返回 403。REST 接口 /polarion/rest/v1/projects 与 /polarion/rest/v1/currentuser 在无凭据时返回 401 及 Unauthorized 的 JSON 响应。全部受保护资源均需通过认证方可访问。</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特别说明：探测中多个路径返回 HTTP 200，经逐一比对响应体确认其内容均为登录页面而非目标资源，故不构成信息泄露；此类状态码需结合响应体判定，避免误报。</w:t>
            </w:r>
          </w:p>
        </w:tc>
      </w:tr>
    </w:tbl>
    <w:p/>
    <w:p>
      <w:pPr>
        <w:pStyle w:val="Heading3"/>
      </w:pPr>
      <w:r>
        <w:t>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实测未认证侧未发现敏感信息泄露。逐类核查：(1) 源代码泄露——未发现可直接下载的服务端源码文件；(2) 配置文件泄露——/polarion/config.js、WEB-INF/web.xml 均返回登录页面而非真实配置；(3) 版本控制信息泄露——/.git/config 返回 404；(4) 备份文件泄露——未发现对外可访问的备份或归档文件；(5) 未授权管理界面——管理端 /polarion/#/administration/* 需认证后方可访问，未认证访问被重定向至登录页面；(6) 默认示例文件与运行状态页——/server-status 返回 403，未发现框架默认页面或安装脚本残留。此外前端脚本中亦未发现密钥与凭据明文（详见 FRON-002、Key-001）。</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认证态下存在服务端异常信息回显问题，已单独在 INFO-001 中判定为不符合；软件版本信息泄露已单独在 TRAN-001 中判定为不符合。本项仅针对未认证侧的源码、配置、备份、管理界面等敏感信息泄露面。</w:t>
            </w:r>
          </w:p>
        </w:tc>
      </w:tr>
    </w:tbl>
    <w:p/>
    <w:p>
      <w:pPr>
        <w:pStyle w:val="Heading3"/>
      </w:pPr>
      <w:r>
        <w:t>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处理用时类拒绝服务验证需构造大范围时间跨度查询、超大分页与尺寸参数、超长参数或高并发重复请求，观察服务端资源耗尽与响应劣化情况。该类测试会实际消耗生产服务器资源并可能造成业务响应变慢甚至服务中断，违反最小影响原则与不影响业务可用性的约束，本次未执行，故不做结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建议在测试环境针对工作项大范围查询、报表统计与批量导出等重计算入口补测处理用时与资源消耗，并评估是否需要增加查询范围上限与结果集分页强制约束。</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