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RLDLabel"/>
      </w:pPr>
      <w:r>
        <w:t>PRIVATE PARTNER WORKSPACE</w:t>
      </w:r>
    </w:p>
    <w:p>
      <w:pPr>
        <w:pStyle w:val="Title"/>
      </w:pPr>
      <w:r>
        <w:t>Mutual Non-Disclosure Agreement - Working Template</w:t>
      </w:r>
    </w:p>
    <w:p>
      <w:r>
        <w:rPr>
          <w:color w:val="5C6265"/>
          <w:sz w:val="22"/>
        </w:rPr>
        <w:t>For early-stage commercial, technical, project, and partnership discussions.</w:t>
      </w:r>
    </w:p>
    <w:p/>
    <w:tbl>
      <w:tblPr>
        <w:tblW w:type="auto" w:w="0"/>
        <w:jc w:val="center"/>
        <w:tblLayout w:type="autofit"/>
        <w:tblLook w:firstColumn="1" w:firstRow="1" w:lastColumn="0" w:lastRow="0" w:noHBand="0" w:noVBand="1" w:val="04A0"/>
      </w:tblPr>
      <w:tblGrid>
        <w:gridCol w:w="10166"/>
      </w:tblGrid>
      <w:tr>
        <w:tc>
          <w:tcPr>
            <w:tcW w:type="dxa" w:w="10166"/>
            <w:shd w:fill="F4EEE9"/>
            <w:tcMar>
              <w:top w:w="140" w:type="dxa"/>
              <w:start w:w="170" w:type="dxa"/>
              <w:bottom w:w="140" w:type="dxa"/>
              <w:end w:w="170" w:type="dxa"/>
            </w:tcMar>
          </w:tcPr>
          <w:p>
            <w:r>
              <w:rPr>
                <w:b/>
                <w:color w:val="B56A3C"/>
                <w:sz w:val="14"/>
              </w:rPr>
              <w:t>IMPORTANT</w:t>
              <w:br/>
            </w:r>
            <w:r>
              <w:rPr>
                <w:color w:val="202426"/>
                <w:sz w:val="17"/>
              </w:rPr>
              <w:t>This is a practical mutual confidentiality template for discussion. It should be reviewed for the specific transaction and governing law before execution. It does not replace professional legal review.</w:t>
            </w:r>
          </w:p>
        </w:tc>
      </w:tr>
    </w:tbl>
    <w:p/>
    <w:tbl>
      <w:tblPr>
        <w:tblStyle w:val="TableGrid"/>
        <w:tblW w:type="auto" w:w="0"/>
        <w:jc w:val="center"/>
        <w:tblLook w:firstColumn="1" w:firstRow="1" w:lastColumn="0" w:lastRow="0" w:noHBand="0" w:noVBand="1" w:val="04A0"/>
      </w:tblPr>
      <w:tblGrid>
        <w:gridCol w:w="5083"/>
        <w:gridCol w:w="5083"/>
      </w:tblGrid>
      <w:tr>
        <w:tc>
          <w:tcPr>
            <w:tcW w:type="dxa" w:w="5083"/>
            <w:shd w:fill="F1F1EE"/>
            <w:tcMar>
              <w:top w:w="120" w:type="dxa"/>
              <w:start w:w="120" w:type="dxa"/>
              <w:bottom w:w="120" w:type="dxa"/>
              <w:end w:w="120" w:type="dxa"/>
            </w:tcMar>
          </w:tcPr>
          <w:p>
            <w:r>
              <w:rPr>
                <w:b/>
                <w:sz w:val="16"/>
              </w:rPr>
              <w:t>Disclosing / receiving parties</w:t>
            </w:r>
          </w:p>
        </w:tc>
        <w:tc>
          <w:tcPr>
            <w:tcW w:type="dxa" w:w="5083"/>
            <w:tcMar>
              <w:top w:w="120" w:type="dxa"/>
              <w:start w:w="120" w:type="dxa"/>
              <w:bottom w:w="120" w:type="dxa"/>
              <w:end w:w="120" w:type="dxa"/>
            </w:tcMar>
          </w:tcPr>
          <w:p>
            <w:r>
              <w:rPr>
                <w:sz w:val="18"/>
              </w:rPr>
              <w:t>Sayudi Inc., operating as MRLD, and [Counterparty Legal Name]</w:t>
            </w:r>
          </w:p>
        </w:tc>
      </w:tr>
      <w:tr>
        <w:tc>
          <w:tcPr>
            <w:tcW w:type="dxa" w:w="5083"/>
            <w:shd w:fill="F1F1EE"/>
            <w:tcMar>
              <w:top w:w="120" w:type="dxa"/>
              <w:start w:w="120" w:type="dxa"/>
              <w:bottom w:w="120" w:type="dxa"/>
              <w:end w:w="120" w:type="dxa"/>
            </w:tcMar>
          </w:tcPr>
          <w:p>
            <w:r>
              <w:rPr>
                <w:b/>
                <w:sz w:val="16"/>
              </w:rPr>
              <w:t>Purpose</w:t>
            </w:r>
          </w:p>
        </w:tc>
        <w:tc>
          <w:tcPr>
            <w:tcW w:type="dxa" w:w="5083"/>
            <w:tcMar>
              <w:top w:w="120" w:type="dxa"/>
              <w:start w:w="120" w:type="dxa"/>
              <w:bottom w:w="120" w:type="dxa"/>
              <w:end w:w="120" w:type="dxa"/>
            </w:tcMar>
          </w:tcPr>
          <w:p>
            <w:r>
              <w:rPr>
                <w:sz w:val="18"/>
              </w:rPr>
              <w:t>Evaluation and development of a potential commercial, project, logistics, sourcing, or representation relationship</w:t>
            </w:r>
          </w:p>
        </w:tc>
      </w:tr>
      <w:tr>
        <w:tc>
          <w:tcPr>
            <w:tcW w:type="dxa" w:w="5083"/>
            <w:shd w:fill="F1F1EE"/>
            <w:tcMar>
              <w:top w:w="120" w:type="dxa"/>
              <w:start w:w="120" w:type="dxa"/>
              <w:bottom w:w="120" w:type="dxa"/>
              <w:end w:w="120" w:type="dxa"/>
            </w:tcMar>
          </w:tcPr>
          <w:p>
            <w:r>
              <w:rPr>
                <w:b/>
                <w:sz w:val="16"/>
              </w:rPr>
              <w:t>Effective date</w:t>
            </w:r>
          </w:p>
        </w:tc>
        <w:tc>
          <w:tcPr>
            <w:tcW w:type="dxa" w:w="5083"/>
            <w:tcMar>
              <w:top w:w="120" w:type="dxa"/>
              <w:start w:w="120" w:type="dxa"/>
              <w:bottom w:w="120" w:type="dxa"/>
              <w:end w:w="120" w:type="dxa"/>
            </w:tcMar>
          </w:tcPr>
          <w:p>
            <w:r>
              <w:rPr>
                <w:sz w:val="18"/>
              </w:rPr>
              <w:t>[Date]</w:t>
            </w:r>
          </w:p>
        </w:tc>
      </w:tr>
      <w:tr>
        <w:tc>
          <w:tcPr>
            <w:tcW w:type="dxa" w:w="5083"/>
            <w:shd w:fill="F1F1EE"/>
            <w:tcMar>
              <w:top w:w="120" w:type="dxa"/>
              <w:start w:w="120" w:type="dxa"/>
              <w:bottom w:w="120" w:type="dxa"/>
              <w:end w:w="120" w:type="dxa"/>
            </w:tcMar>
          </w:tcPr>
          <w:p>
            <w:r>
              <w:rPr>
                <w:b/>
                <w:sz w:val="16"/>
              </w:rPr>
              <w:t>Confidentiality period</w:t>
            </w:r>
          </w:p>
        </w:tc>
        <w:tc>
          <w:tcPr>
            <w:tcW w:type="dxa" w:w="5083"/>
            <w:tcMar>
              <w:top w:w="120" w:type="dxa"/>
              <w:start w:w="120" w:type="dxa"/>
              <w:bottom w:w="120" w:type="dxa"/>
              <w:end w:w="120" w:type="dxa"/>
            </w:tcMar>
          </w:tcPr>
          <w:p>
            <w:r>
              <w:rPr>
                <w:sz w:val="18"/>
              </w:rPr>
              <w:t>[e.g., 3 years after disclosure]</w:t>
            </w:r>
          </w:p>
        </w:tc>
      </w:tr>
      <w:tr>
        <w:tc>
          <w:tcPr>
            <w:tcW w:type="dxa" w:w="5083"/>
            <w:shd w:fill="F1F1EE"/>
            <w:tcMar>
              <w:top w:w="120" w:type="dxa"/>
              <w:start w:w="120" w:type="dxa"/>
              <w:bottom w:w="120" w:type="dxa"/>
              <w:end w:w="120" w:type="dxa"/>
            </w:tcMar>
          </w:tcPr>
          <w:p>
            <w:r>
              <w:rPr>
                <w:b/>
                <w:sz w:val="16"/>
              </w:rPr>
              <w:t>Governing law</w:t>
            </w:r>
          </w:p>
        </w:tc>
        <w:tc>
          <w:tcPr>
            <w:tcW w:type="dxa" w:w="5083"/>
            <w:tcMar>
              <w:top w:w="120" w:type="dxa"/>
              <w:start w:w="120" w:type="dxa"/>
              <w:bottom w:w="120" w:type="dxa"/>
              <w:end w:w="120" w:type="dxa"/>
            </w:tcMar>
          </w:tcPr>
          <w:p>
            <w:r>
              <w:rPr>
                <w:sz w:val="18"/>
              </w:rPr>
              <w:t>[Jurisdiction to be agreed]</w:t>
            </w:r>
          </w:p>
        </w:tc>
      </w:tr>
    </w:tbl>
    <w:p/>
    <w:p>
      <w:pPr>
        <w:pStyle w:val="Heading2"/>
      </w:pPr>
      <w:r>
        <w:t>1. Confidential Information</w:t>
      </w:r>
    </w:p>
    <w:p>
      <w:r>
        <w:t>"Confidential Information" means non-public commercial, customer, pricing, technical, product, supplier, financial, project, operational, strategic, and other information disclosed in any form that a reasonable person would understand to be confidential in the circumstances.</w:t>
      </w:r>
    </w:p>
    <w:p>
      <w:pPr>
        <w:pStyle w:val="Heading2"/>
      </w:pPr>
      <w:r>
        <w:t>2. Permitted use</w:t>
      </w:r>
    </w:p>
    <w:p>
      <w:r>
        <w:t>Each receiving party may use Confidential Information only for the stated Purpose and may share it only with personnel, advisers, affiliates, or contractors who need it for that Purpose and who are bound by appropriate confidentiality obligations.</w:t>
      </w:r>
    </w:p>
    <w:p>
      <w:pPr>
        <w:pStyle w:val="Heading2"/>
      </w:pPr>
      <w:r>
        <w:t>3. Protection standard</w:t>
      </w:r>
    </w:p>
    <w:p>
      <w:r>
        <w:t>Each receiving party will use reasonable care to protect the other party's Confidential Information and, at minimum, the same degree of care it uses to protect its own information of similar sensitivity.</w:t>
      </w:r>
    </w:p>
    <w:p>
      <w:pPr>
        <w:pStyle w:val="Heading2"/>
      </w:pPr>
      <w:r>
        <w:t>4. Exclusions</w:t>
      </w:r>
    </w:p>
    <w:p>
      <w:r>
        <w:t>Confidential Information does not include information the receiving party can demonstrate:</w:t>
      </w:r>
    </w:p>
    <w:p>
      <w:pPr>
        <w:pStyle w:val="ListBullet"/>
        <w:spacing w:after="60"/>
      </w:pPr>
      <w:r>
        <w:t>was lawfully known without restriction before disclosure;</w:t>
      </w:r>
    </w:p>
    <w:p>
      <w:pPr>
        <w:pStyle w:val="ListBullet"/>
        <w:spacing w:after="60"/>
      </w:pPr>
      <w:r>
        <w:t>becomes public through no breach of this agreement;</w:t>
      </w:r>
    </w:p>
    <w:p>
      <w:pPr>
        <w:pStyle w:val="ListBullet"/>
        <w:spacing w:after="60"/>
      </w:pPr>
      <w:r>
        <w:t>is received lawfully from a third party without confidentiality restriction;</w:t>
      </w:r>
    </w:p>
    <w:p>
      <w:pPr>
        <w:pStyle w:val="ListBullet"/>
        <w:spacing w:after="60"/>
      </w:pPr>
      <w:r>
        <w:t>is independently developed without use of the other party's Confidential Information; or</w:t>
      </w:r>
    </w:p>
    <w:p>
      <w:pPr>
        <w:pStyle w:val="ListBullet"/>
        <w:spacing w:after="60"/>
      </w:pPr>
      <w:r>
        <w:t>is approved for release in writing by the disclosing party.</w:t>
      </w:r>
    </w:p>
    <w:p>
      <w:pPr>
        <w:pStyle w:val="Heading2"/>
      </w:pPr>
      <w:r>
        <w:t>5. Required disclosure</w:t>
      </w:r>
    </w:p>
    <w:p>
      <w:r>
        <w:t>If disclosure is required by law, regulation, or valid legal process, the receiving party may disclose only what is legally required and, where legally permitted, will provide prompt notice so the disclosing party may seek protective measures.</w:t>
      </w:r>
    </w:p>
    <w:p>
      <w:pPr>
        <w:pStyle w:val="Heading2"/>
      </w:pPr>
      <w:r>
        <w:t>6. No licence or commitment</w:t>
      </w:r>
    </w:p>
    <w:p>
      <w:r>
        <w:t>Disclosure does not transfer intellectual-property rights, create a licence, require either party to proceed with a transaction, or authorize either party to make commitments on behalf of the other.</w:t>
      </w:r>
    </w:p>
    <w:p>
      <w:pPr>
        <w:pStyle w:val="Heading2"/>
      </w:pPr>
      <w:r>
        <w:t>7. Return or destruction</w:t>
      </w:r>
    </w:p>
    <w:p>
      <w:r>
        <w:t>Upon reasonable request, the receiving party will return or destroy Confidential Information, subject to routine backups, legal retention requirements, and records retained by professional advisers under continuing confidentiality obligations.</w:t>
      </w:r>
    </w:p>
    <w:p>
      <w:pPr>
        <w:pStyle w:val="Heading2"/>
      </w:pPr>
      <w:r>
        <w:t>8. No warranty</w:t>
      </w:r>
    </w:p>
    <w:p>
      <w:r>
        <w:t>Confidential Information is provided for evaluation. Unless separately agreed, neither party makes a representation that preliminary information is complete, final, or suitable for reliance in a transaction.</w:t>
      </w:r>
    </w:p>
    <w:p>
      <w:pPr>
        <w:pStyle w:val="Heading2"/>
      </w:pPr>
      <w:r>
        <w:t>9. Term</w:t>
      </w:r>
    </w:p>
    <w:p>
      <w:r>
        <w:t>This agreement begins on the Effective Date. Confidentiality obligations continue for the period stated above, except that trade secrets should remain protected for as long as they qualify for protection under applicable law.</w:t>
      </w:r>
    </w:p>
    <w:p>
      <w:pPr>
        <w:pStyle w:val="Heading2"/>
      </w:pPr>
      <w:r>
        <w:t>10. General</w:t>
      </w:r>
    </w:p>
    <w:p>
      <w:r>
        <w:t>The parties should specify governing law, notices, assignment, amendment, counterparts, and electronic-signature provisions as appropriate to the final transaction.</w:t>
      </w:r>
    </w:p>
    <w:p>
      <w:pPr>
        <w:pStyle w:val="Heading1"/>
      </w:pPr>
      <w:r>
        <w:t>Signatures</w:t>
      </w:r>
    </w:p>
    <w:tbl>
      <w:tblPr>
        <w:tblStyle w:val="TableGrid"/>
        <w:tblW w:type="auto" w:w="0"/>
        <w:jc w:val="center"/>
        <w:tblLook w:firstColumn="1" w:firstRow="1" w:lastColumn="0" w:lastRow="0" w:noHBand="0" w:noVBand="1" w:val="04A0"/>
      </w:tblPr>
      <w:tblGrid>
        <w:gridCol w:w="5083"/>
        <w:gridCol w:w="5083"/>
      </w:tblGrid>
      <w:tr>
        <w:tc>
          <w:tcPr>
            <w:tcW w:type="dxa" w:w="5083"/>
            <w:shd w:fill="F1F1EE"/>
            <w:tcMar>
              <w:top w:w="120" w:type="dxa"/>
              <w:start w:w="120" w:type="dxa"/>
              <w:bottom w:w="120" w:type="dxa"/>
              <w:end w:w="120" w:type="dxa"/>
            </w:tcMar>
          </w:tcPr>
          <w:p>
            <w:r>
              <w:rPr>
                <w:b/>
                <w:sz w:val="16"/>
              </w:rPr>
              <w:t>For Sayudi Inc. / MRLD</w:t>
            </w:r>
          </w:p>
        </w:tc>
        <w:tc>
          <w:tcPr>
            <w:tcW w:type="dxa" w:w="5083"/>
            <w:tcMar>
              <w:top w:w="120" w:type="dxa"/>
              <w:start w:w="120" w:type="dxa"/>
              <w:bottom w:w="120" w:type="dxa"/>
              <w:end w:w="120" w:type="dxa"/>
            </w:tcMar>
          </w:tcPr>
          <w:p>
            <w:r>
              <w:rPr>
                <w:sz w:val="18"/>
              </w:rPr>
              <w:t>Name: Ali Saïd</w:t>
              <w:br/>
              <w:t>Title: Founder &amp; Director</w:t>
              <w:br/>
              <w:t>Signature: ____________________</w:t>
              <w:br/>
              <w:t>Date: ____________________</w:t>
            </w:r>
          </w:p>
        </w:tc>
      </w:tr>
      <w:tr>
        <w:tc>
          <w:tcPr>
            <w:tcW w:type="dxa" w:w="5083"/>
            <w:shd w:fill="F1F1EE"/>
            <w:tcMar>
              <w:top w:w="120" w:type="dxa"/>
              <w:start w:w="120" w:type="dxa"/>
              <w:bottom w:w="120" w:type="dxa"/>
              <w:end w:w="120" w:type="dxa"/>
            </w:tcMar>
          </w:tcPr>
          <w:p>
            <w:r>
              <w:rPr>
                <w:b/>
                <w:sz w:val="16"/>
              </w:rPr>
              <w:t>For Counterparty</w:t>
            </w:r>
          </w:p>
        </w:tc>
        <w:tc>
          <w:tcPr>
            <w:tcW w:type="dxa" w:w="5083"/>
            <w:tcMar>
              <w:top w:w="120" w:type="dxa"/>
              <w:start w:w="120" w:type="dxa"/>
              <w:bottom w:w="120" w:type="dxa"/>
              <w:end w:w="120" w:type="dxa"/>
            </w:tcMar>
          </w:tcPr>
          <w:p>
            <w:r>
              <w:rPr>
                <w:sz w:val="18"/>
              </w:rPr>
              <w:t>Legal name: ____________________</w:t>
              <w:br/>
              <w:t>Name: ____________________</w:t>
              <w:br/>
              <w:t>Title: ____________________</w:t>
              <w:br/>
              <w:t>Signature: ____________________</w:t>
              <w:br/>
              <w:t>Date: ____________________</w:t>
            </w:r>
          </w:p>
        </w:tc>
      </w:tr>
    </w:tbl>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5"/>
        <w:sz w:val="13"/>
      </w:rPr>
      <w:t>MRLD · A SAYUDI INC. COMPANY · mrldx.com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6480"/>
      <w:gridCol w:w="3600"/>
    </w:tblGrid>
    <w:tr>
      <w:tc>
        <w:tcPr>
          <w:tcW w:type="dxa" w:w="5040"/>
        </w:tcPr>
        <w:p>
          <w:r>
            <w:drawing>
              <wp:inline xmlns:a="http://schemas.openxmlformats.org/drawingml/2006/main" xmlns:pic="http://schemas.openxmlformats.org/drawingml/2006/picture">
                <wp:extent cx="237744" cy="237744"/>
                <wp:docPr id="1" name="Picture 1"/>
                <wp:cNvGraphicFramePr>
                  <a:graphicFrameLocks noChangeAspect="1"/>
                </wp:cNvGraphicFramePr>
                <a:graphic>
                  <a:graphicData uri="http://schemas.openxmlformats.org/drawingml/2006/picture">
                    <pic:pic>
                      <pic:nvPicPr>
                        <pic:cNvPr id="0" name="mrld-symbol-web.png"/>
                        <pic:cNvPicPr/>
                      </pic:nvPicPr>
                      <pic:blipFill>
                        <a:blip r:embed="rId1"/>
                        <a:stretch>
                          <a:fillRect/>
                        </a:stretch>
                      </pic:blipFill>
                      <pic:spPr>
                        <a:xfrm>
                          <a:off x="0" y="0"/>
                          <a:ext cx="237744" cy="237744"/>
                        </a:xfrm>
                        <a:prstGeom prst="rect"/>
                      </pic:spPr>
                    </pic:pic>
                  </a:graphicData>
                </a:graphic>
              </wp:inline>
            </w:drawing>
          </w:r>
          <w:r>
            <w:rPr>
              <w:rFonts w:ascii="Arial" w:hAnsi="Arial"/>
              <w:b/>
              <w:color w:val="202426"/>
              <w:sz w:val="22"/>
            </w:rPr>
            <w:t xml:space="preserve">  MRLD</w:t>
          </w:r>
        </w:p>
      </w:tc>
      <w:tc>
        <w:tcPr>
          <w:tcW w:type="dxa" w:w="5040"/>
        </w:tcPr>
        <w:p>
          <w:pPr>
            <w:jc w:val="right"/>
          </w:pPr>
          <w:r>
            <w:rPr>
              <w:b/>
              <w:color w:val="5C6265"/>
              <w:sz w:val="13"/>
            </w:rPr>
            <w:t>DISCUSSION DRAFT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0242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202426"/>
      <w:sz w:val="32"/>
      <w:szCs w:val="28"/>
    </w:rPr>
  </w:style>
  <w:style w:type="paragraph" w:styleId="Heading2">
    <w:name w:val="heading 2"/>
    <w:basedOn w:val="Normal"/>
    <w:next w:val="Normal"/>
    <w:link w:val="Heading2Char"/>
    <w:uiPriority w:val="9"/>
    <w:unhideWhenUsed/>
    <w:qFormat/>
    <w:rsid w:val="00FC693F"/>
    <w:pPr>
      <w:keepNext/>
      <w:keepLines/>
      <w:spacing w:before="80" w:after="100"/>
      <w:outlineLvl w:val="1"/>
    </w:pPr>
    <w:rPr>
      <w:rFonts w:asciiTheme="majorHAnsi" w:eastAsiaTheme="majorEastAsia" w:hAnsiTheme="majorHAnsi" w:cstheme="majorBidi" w:ascii="Arial" w:hAnsi="Arial"/>
      <w:b/>
      <w:bCs/>
      <w:color w:val="B56A3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20242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RLDLabel">
    <w:name w:val="MRLD Label"/>
    <w:pPr>
      <w:spacing w:after="120"/>
    </w:pPr>
    <w:rPr>
      <w:rFonts w:ascii="Arial" w:hAnsi="Arial"/>
      <w:b/>
      <w:color w:val="B56A3C"/>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