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MRLDLabel"/>
      </w:pPr>
      <w:r>
        <w:t>PRIVATE PARTNER WORKSPACE</w:t>
      </w:r>
    </w:p>
    <w:p>
      <w:pPr>
        <w:pStyle w:val="Title"/>
      </w:pPr>
      <w:r>
        <w:t>Preliminary Sales Representation Framework</w:t>
      </w:r>
    </w:p>
    <w:p>
      <w:r>
        <w:rPr>
          <w:color w:val="5C6265"/>
          <w:sz w:val="22"/>
        </w:rPr>
        <w:t>A practical starting point for commercial discussions between MRLD and a manufacturer.</w:t>
      </w:r>
    </w:p>
    <w:p/>
    <w:tbl>
      <w:tblPr>
        <w:tblW w:type="auto" w:w="0"/>
        <w:jc w:val="center"/>
        <w:tblLayout w:type="autofit"/>
        <w:tblLook w:firstColumn="1" w:firstRow="1" w:lastColumn="0" w:lastRow="0" w:noHBand="0" w:noVBand="1" w:val="04A0"/>
      </w:tblPr>
      <w:tblGrid>
        <w:gridCol w:w="10166"/>
      </w:tblGrid>
      <w:tr>
        <w:tc>
          <w:tcPr>
            <w:tcW w:type="dxa" w:w="10166"/>
            <w:shd w:fill="F4EEE9"/>
            <w:tcMar>
              <w:top w:w="140" w:type="dxa"/>
              <w:start w:w="170" w:type="dxa"/>
              <w:bottom w:w="140" w:type="dxa"/>
              <w:end w:w="170" w:type="dxa"/>
            </w:tcMar>
          </w:tcPr>
          <w:p>
            <w:r>
              <w:rPr>
                <w:b/>
                <w:color w:val="B56A3C"/>
                <w:sz w:val="14"/>
              </w:rPr>
              <w:t>IMPORTANT</w:t>
              <w:br/>
            </w:r>
            <w:r>
              <w:rPr>
                <w:color w:val="202426"/>
                <w:sz w:val="17"/>
              </w:rPr>
              <w:t>This document is a preliminary commercial framework intended to accelerate discussions. It is not legal advice and should be reviewed and adapted by both parties before signature. Unless the executed agreement expressly states otherwise, no exclusivity, territorial right, agency authority, or commitment to minimum sales is created.</w:t>
            </w:r>
          </w:p>
        </w:tc>
      </w:tr>
    </w:tbl>
    <w:p/>
    <w:tbl>
      <w:tblPr>
        <w:tblStyle w:val="TableGrid"/>
        <w:tblW w:type="auto" w:w="0"/>
        <w:jc w:val="center"/>
        <w:tblLook w:firstColumn="1" w:firstRow="1" w:lastColumn="0" w:lastRow="0" w:noHBand="0" w:noVBand="1" w:val="04A0"/>
      </w:tblPr>
      <w:tblGrid>
        <w:gridCol w:w="5083"/>
        <w:gridCol w:w="5083"/>
      </w:tblGrid>
      <w:tr>
        <w:tc>
          <w:tcPr>
            <w:tcW w:type="dxa" w:w="5083"/>
            <w:shd w:fill="F1F1EE"/>
            <w:tcMar>
              <w:top w:w="120" w:type="dxa"/>
              <w:start w:w="120" w:type="dxa"/>
              <w:bottom w:w="120" w:type="dxa"/>
              <w:end w:w="120" w:type="dxa"/>
            </w:tcMar>
          </w:tcPr>
          <w:p>
            <w:r>
              <w:rPr>
                <w:b/>
                <w:sz w:val="16"/>
              </w:rPr>
              <w:t>Proposed parties</w:t>
            </w:r>
          </w:p>
        </w:tc>
        <w:tc>
          <w:tcPr>
            <w:tcW w:type="dxa" w:w="5083"/>
            <w:tcMar>
              <w:top w:w="120" w:type="dxa"/>
              <w:start w:w="120" w:type="dxa"/>
              <w:bottom w:w="120" w:type="dxa"/>
              <w:end w:w="120" w:type="dxa"/>
            </w:tcMar>
          </w:tcPr>
          <w:p>
            <w:r>
              <w:rPr>
                <w:sz w:val="18"/>
              </w:rPr>
              <w:t>Sayudi Inc., operating as MRLD ("MRLD") and [Manufacturer Legal Name] ("Manufacturer")</w:t>
            </w:r>
          </w:p>
        </w:tc>
      </w:tr>
      <w:tr>
        <w:tc>
          <w:tcPr>
            <w:tcW w:type="dxa" w:w="5083"/>
            <w:shd w:fill="F1F1EE"/>
            <w:tcMar>
              <w:top w:w="120" w:type="dxa"/>
              <w:start w:w="120" w:type="dxa"/>
              <w:bottom w:w="120" w:type="dxa"/>
              <w:end w:w="120" w:type="dxa"/>
            </w:tcMar>
          </w:tcPr>
          <w:p>
            <w:r>
              <w:rPr>
                <w:b/>
                <w:sz w:val="16"/>
              </w:rPr>
              <w:t>Manufacturer jurisdiction</w:t>
            </w:r>
          </w:p>
        </w:tc>
        <w:tc>
          <w:tcPr>
            <w:tcW w:type="dxa" w:w="5083"/>
            <w:tcMar>
              <w:top w:w="120" w:type="dxa"/>
              <w:start w:w="120" w:type="dxa"/>
              <w:bottom w:w="120" w:type="dxa"/>
              <w:end w:w="120" w:type="dxa"/>
            </w:tcMar>
          </w:tcPr>
          <w:p>
            <w:r>
              <w:rPr>
                <w:sz w:val="18"/>
              </w:rPr>
              <w:t>[Country / State / Province]</w:t>
            </w:r>
          </w:p>
        </w:tc>
      </w:tr>
      <w:tr>
        <w:tc>
          <w:tcPr>
            <w:tcW w:type="dxa" w:w="5083"/>
            <w:shd w:fill="F1F1EE"/>
            <w:tcMar>
              <w:top w:w="120" w:type="dxa"/>
              <w:start w:w="120" w:type="dxa"/>
              <w:bottom w:w="120" w:type="dxa"/>
              <w:end w:w="120" w:type="dxa"/>
            </w:tcMar>
          </w:tcPr>
          <w:p>
            <w:r>
              <w:rPr>
                <w:b/>
                <w:sz w:val="16"/>
              </w:rPr>
              <w:t>Commercial focus</w:t>
            </w:r>
          </w:p>
        </w:tc>
        <w:tc>
          <w:tcPr>
            <w:tcW w:type="dxa" w:w="5083"/>
            <w:tcMar>
              <w:top w:w="120" w:type="dxa"/>
              <w:start w:w="120" w:type="dxa"/>
              <w:bottom w:w="120" w:type="dxa"/>
              <w:end w:w="120" w:type="dxa"/>
            </w:tcMar>
          </w:tcPr>
          <w:p>
            <w:r>
              <w:rPr>
                <w:sz w:val="18"/>
              </w:rPr>
              <w:t>[Products / product families]</w:t>
            </w:r>
          </w:p>
        </w:tc>
      </w:tr>
      <w:tr>
        <w:tc>
          <w:tcPr>
            <w:tcW w:type="dxa" w:w="5083"/>
            <w:shd w:fill="F1F1EE"/>
            <w:tcMar>
              <w:top w:w="120" w:type="dxa"/>
              <w:start w:w="120" w:type="dxa"/>
              <w:bottom w:w="120" w:type="dxa"/>
              <w:end w:w="120" w:type="dxa"/>
            </w:tcMar>
          </w:tcPr>
          <w:p>
            <w:r>
              <w:rPr>
                <w:b/>
                <w:sz w:val="16"/>
              </w:rPr>
              <w:t>Market or customer scope</w:t>
            </w:r>
          </w:p>
        </w:tc>
        <w:tc>
          <w:tcPr>
            <w:tcW w:type="dxa" w:w="5083"/>
            <w:tcMar>
              <w:top w:w="120" w:type="dxa"/>
              <w:start w:w="120" w:type="dxa"/>
              <w:bottom w:w="120" w:type="dxa"/>
              <w:end w:w="120" w:type="dxa"/>
            </w:tcMar>
          </w:tcPr>
          <w:p>
            <w:r>
              <w:rPr>
                <w:sz w:val="18"/>
              </w:rPr>
              <w:t>[Defined market, customer set, project, or opportunity]</w:t>
            </w:r>
          </w:p>
        </w:tc>
      </w:tr>
      <w:tr>
        <w:tc>
          <w:tcPr>
            <w:tcW w:type="dxa" w:w="5083"/>
            <w:shd w:fill="F1F1EE"/>
            <w:tcMar>
              <w:top w:w="120" w:type="dxa"/>
              <w:start w:w="120" w:type="dxa"/>
              <w:bottom w:w="120" w:type="dxa"/>
              <w:end w:w="120" w:type="dxa"/>
            </w:tcMar>
          </w:tcPr>
          <w:p>
            <w:r>
              <w:rPr>
                <w:b/>
                <w:sz w:val="16"/>
              </w:rPr>
              <w:t>Effective date</w:t>
            </w:r>
          </w:p>
        </w:tc>
        <w:tc>
          <w:tcPr>
            <w:tcW w:type="dxa" w:w="5083"/>
            <w:tcMar>
              <w:top w:w="120" w:type="dxa"/>
              <w:start w:w="120" w:type="dxa"/>
              <w:bottom w:w="120" w:type="dxa"/>
              <w:end w:w="120" w:type="dxa"/>
            </w:tcMar>
          </w:tcPr>
          <w:p>
            <w:r>
              <w:rPr>
                <w:sz w:val="18"/>
              </w:rPr>
              <w:t>[Date]</w:t>
            </w:r>
          </w:p>
        </w:tc>
      </w:tr>
      <w:tr>
        <w:tc>
          <w:tcPr>
            <w:tcW w:type="dxa" w:w="5083"/>
            <w:shd w:fill="F1F1EE"/>
            <w:tcMar>
              <w:top w:w="120" w:type="dxa"/>
              <w:start w:w="120" w:type="dxa"/>
              <w:bottom w:w="120" w:type="dxa"/>
              <w:end w:w="120" w:type="dxa"/>
            </w:tcMar>
          </w:tcPr>
          <w:p>
            <w:r>
              <w:rPr>
                <w:b/>
                <w:sz w:val="16"/>
              </w:rPr>
              <w:t>Initial term</w:t>
            </w:r>
          </w:p>
        </w:tc>
        <w:tc>
          <w:tcPr>
            <w:tcW w:type="dxa" w:w="5083"/>
            <w:tcMar>
              <w:top w:w="120" w:type="dxa"/>
              <w:start w:w="120" w:type="dxa"/>
              <w:bottom w:w="120" w:type="dxa"/>
              <w:end w:w="120" w:type="dxa"/>
            </w:tcMar>
          </w:tcPr>
          <w:p>
            <w:r>
              <w:rPr>
                <w:sz w:val="18"/>
              </w:rPr>
              <w:t>[e.g., 12 months]</w:t>
            </w:r>
          </w:p>
        </w:tc>
      </w:tr>
    </w:tbl>
    <w:p/>
    <w:p>
      <w:pPr>
        <w:pStyle w:val="Heading2"/>
      </w:pPr>
      <w:r>
        <w:t>1. Purpose</w:t>
      </w:r>
    </w:p>
    <w:p>
      <w:r>
        <w:t>The parties wish to establish a clear working framework under which MRLD may identify, develop, and support qualified commercial opportunities for Manufacturer products. The relationship is intended to be selective, practical, and opportunity-driven.</w:t>
      </w:r>
    </w:p>
    <w:p>
      <w:pPr>
        <w:pStyle w:val="Heading2"/>
      </w:pPr>
      <w:r>
        <w:t>2. Relationship structure</w:t>
      </w:r>
    </w:p>
    <w:p>
      <w:r>
        <w:t>Unless otherwise stated in an executed schedule, the relationship is non-exclusive. MRLD acts as an independent contractor and has no authority to bind the Manufacturer, accept orders on its behalf, make warranties, or incur liabilities in the Manufacturer's name.</w:t>
      </w:r>
    </w:p>
    <w:p>
      <w:r>
        <w:t>The parties may use this framework for one opportunity, a defined customer segment, a product line, or a broader market-development mandate.</w:t>
      </w:r>
    </w:p>
    <w:p>
      <w:pPr>
        <w:pStyle w:val="Heading2"/>
      </w:pPr>
      <w:r>
        <w:t>3. MRLD responsibilities</w:t>
      </w:r>
    </w:p>
    <w:p>
      <w:r>
        <w:t>MRLD may, as agreed for a specific scope:</w:t>
      </w:r>
    </w:p>
    <w:p>
      <w:pPr>
        <w:pStyle w:val="ListBullet"/>
        <w:spacing w:after="60"/>
      </w:pPr>
      <w:r>
        <w:t>Identify and qualify prospective buyers, projects, or commercial opportunities.</w:t>
      </w:r>
    </w:p>
    <w:p>
      <w:pPr>
        <w:pStyle w:val="ListBullet"/>
        <w:spacing w:after="60"/>
      </w:pPr>
      <w:r>
        <w:t>Introduce the Manufacturer and support early commercial discussions.</w:t>
      </w:r>
    </w:p>
    <w:p>
      <w:pPr>
        <w:pStyle w:val="ListBullet"/>
        <w:spacing w:after="60"/>
      </w:pPr>
      <w:r>
        <w:t>Coordinate requests for technical, commercial, documentation, and delivery information.</w:t>
      </w:r>
    </w:p>
    <w:p>
      <w:pPr>
        <w:pStyle w:val="ListBullet"/>
        <w:spacing w:after="60"/>
      </w:pPr>
      <w:r>
        <w:t>Support proposals, follow-up, stakeholder coordination, and opportunity development.</w:t>
      </w:r>
    </w:p>
    <w:p>
      <w:pPr>
        <w:pStyle w:val="ListBullet"/>
        <w:spacing w:after="60"/>
      </w:pPr>
      <w:r>
        <w:t>Coordinate with logistics or project partners when this forms part of the agreed scope.</w:t>
      </w:r>
    </w:p>
    <w:p>
      <w:pPr>
        <w:pStyle w:val="ListBullet"/>
        <w:spacing w:after="60"/>
      </w:pPr>
      <w:r>
        <w:t>Maintain reasonable records of active opportunities and communicate material developments.</w:t>
      </w:r>
    </w:p>
    <w:p>
      <w:pPr>
        <w:pStyle w:val="Heading2"/>
      </w:pPr>
      <w:r>
        <w:t>4. Manufacturer responsibilities</w:t>
      </w:r>
    </w:p>
    <w:p>
      <w:r>
        <w:t>The Manufacturer is expected to:</w:t>
      </w:r>
    </w:p>
    <w:p>
      <w:pPr>
        <w:pStyle w:val="ListBullet"/>
        <w:spacing w:after="60"/>
      </w:pPr>
      <w:r>
        <w:t>Provide accurate and current product, technical, certification, pricing, warranty, lead-time, and company information.</w:t>
      </w:r>
    </w:p>
    <w:p>
      <w:pPr>
        <w:pStyle w:val="ListBullet"/>
        <w:spacing w:after="60"/>
      </w:pPr>
      <w:r>
        <w:t>Respond within commercially reasonable timeframes to qualified requests.</w:t>
      </w:r>
    </w:p>
    <w:p>
      <w:pPr>
        <w:pStyle w:val="ListBullet"/>
        <w:spacing w:after="60"/>
      </w:pPr>
      <w:r>
        <w:t>Identify any markets, customers, applications, products, or commitments that are restricted.</w:t>
      </w:r>
    </w:p>
    <w:p>
      <w:pPr>
        <w:pStyle w:val="ListBullet"/>
        <w:spacing w:after="60"/>
      </w:pPr>
      <w:r>
        <w:t>Provide quotations and contractual terms directly or through an agreed process.</w:t>
      </w:r>
    </w:p>
    <w:p>
      <w:pPr>
        <w:pStyle w:val="ListBullet"/>
        <w:spacing w:after="60"/>
      </w:pPr>
      <w:r>
        <w:t>Comply with applicable export, sanctions, product, safety, anti-bribery, and other legal requirements.</w:t>
      </w:r>
    </w:p>
    <w:p>
      <w:pPr>
        <w:pStyle w:val="ListBullet"/>
        <w:spacing w:after="60"/>
      </w:pPr>
      <w:r>
        <w:t>Inform MRLD promptly of material changes that could affect an active opportunity.</w:t>
      </w:r>
    </w:p>
    <w:p>
      <w:pPr>
        <w:pStyle w:val="Heading2"/>
      </w:pPr>
      <w:r>
        <w:t>5. Opportunity registration</w:t>
      </w:r>
    </w:p>
    <w:p>
      <w:r>
        <w:t>Where useful, the parties may confirm a qualified opportunity in writing by customer/project name, scope, date, and responsible contacts. Registration is intended to avoid duplication and establish commercial attribution. It does not obligate either party to transact.</w:t>
      </w:r>
    </w:p>
    <w:p>
      <w:pPr>
        <w:pStyle w:val="Heading2"/>
      </w:pPr>
      <w:r>
        <w:t>6. Commercial terms</w:t>
      </w:r>
    </w:p>
    <w:p>
      <w:r>
        <w:t>Compensation should be stated in a signed schedule or opportunity confirmation. Possible structures include a percentage commission on net collected sales, a fixed business-development fee, a project-specific fee, or another mutually agreed structure.</w:t>
      </w:r>
    </w:p>
    <w:p>
      <w:r>
        <w:t>No commission or fee is earned unless the applicable calculation basis, trigger, payment timing, exclusions, taxes, currency, and treatment of cancellations/returns are agreed in writing.</w:t>
      </w:r>
    </w:p>
    <w:p>
      <w:pPr>
        <w:pStyle w:val="Heading2"/>
      </w:pPr>
      <w:r>
        <w:t>7. Pricing and contracting</w:t>
      </w:r>
    </w:p>
    <w:p>
      <w:r>
        <w:t>Unless otherwise agreed, the Manufacturer retains control over product pricing, technical acceptance, credit decisions, order acceptance, warranties, and the final customer contract. MRLD will not represent that a quotation, delivery date, specification, or commercial term is final unless confirmed by the Manufacturer.</w:t>
      </w:r>
    </w:p>
    <w:p>
      <w:pPr>
        <w:pStyle w:val="Heading2"/>
      </w:pPr>
      <w:r>
        <w:t>8. Confidentiality</w:t>
      </w:r>
    </w:p>
    <w:p>
      <w:r>
        <w:t>Each party should protect non-public commercial, technical, pricing, customer, and business information received from the other. The parties may execute MRLD's mutual NDA or their own confidentiality agreement where a separate instrument is preferred.</w:t>
      </w:r>
    </w:p>
    <w:p>
      <w:pPr>
        <w:pStyle w:val="Heading2"/>
      </w:pPr>
      <w:r>
        <w:t>9. Brand and materials</w:t>
      </w:r>
    </w:p>
    <w:p>
      <w:r>
        <w:t>Neither party may use the other party's trademarks, logos, confidential documents, or public statements beyond the agreed commercial purpose without appropriate permission. Manufacturer-supplied product materials remain the Manufacturer's responsibility.</w:t>
      </w:r>
    </w:p>
    <w:p>
      <w:pPr>
        <w:pStyle w:val="Heading2"/>
      </w:pPr>
      <w:r>
        <w:t>10. Compliance and conduct</w:t>
      </w:r>
    </w:p>
    <w:p>
      <w:r>
        <w:t>Each party will conduct its activities lawfully and in good faith. Neither party is expected to make improper payments, misrepresent product capabilities, circumvent applicable trade controls, or knowingly pursue prohibited business.</w:t>
      </w:r>
    </w:p>
    <w:p>
      <w:pPr>
        <w:pStyle w:val="Heading2"/>
      </w:pPr>
      <w:r>
        <w:t>11. Term and termination</w:t>
      </w:r>
    </w:p>
    <w:p>
      <w:r>
        <w:t>Either party may end the relationship on [30] days' written notice unless a signed schedule states otherwise. Immediate termination may be appropriate for material breach, unlawful conduct, insolvency, or material reputational risk.</w:t>
      </w:r>
    </w:p>
    <w:p>
      <w:r>
        <w:t>The treatment of opportunities already introduced or materially developed before termination should be stated in the relevant commercial schedule, including any post-termination commission period if applicable.</w:t>
      </w:r>
    </w:p>
    <w:p>
      <w:pPr>
        <w:pStyle w:val="Heading2"/>
      </w:pPr>
      <w:r>
        <w:t>12. No exclusivity unless expressly granted</w:t>
      </w:r>
    </w:p>
    <w:p>
      <w:r>
        <w:t>No territory, customer group, product line, or channel is exclusive unless the parties expressly identify the exclusive scope, duration, performance expectations, exceptions, and termination consequences in a signed schedule.</w:t>
      </w:r>
    </w:p>
    <w:p>
      <w:pPr>
        <w:pStyle w:val="Heading2"/>
      </w:pPr>
      <w:r>
        <w:t>13. Disputes and governing law</w:t>
      </w:r>
    </w:p>
    <w:p>
      <w:r>
        <w:t>The parties should select the governing law and dispute-resolution mechanism appropriate to the final relationship: [insert agreed jurisdiction and process].</w:t>
      </w:r>
    </w:p>
    <w:p>
      <w:pPr>
        <w:pStyle w:val="Heading2"/>
      </w:pPr>
      <w:r>
        <w:t>14. Entire working agreement</w:t>
      </w:r>
    </w:p>
    <w:p>
      <w:r>
        <w:t>The final signed agreement, together with any signed schedules, should replace prior informal statements concerning the same scope. Amendments should be made in writing by authorized representatives.</w:t>
      </w:r>
    </w:p>
    <w:p>
      <w:pPr>
        <w:pStyle w:val="Heading1"/>
      </w:pPr>
      <w:r>
        <w:t>Commercial Schedule - to be completed</w:t>
      </w:r>
    </w:p>
    <w:tbl>
      <w:tblPr>
        <w:tblStyle w:val="TableGrid"/>
        <w:tblW w:type="auto" w:w="0"/>
        <w:jc w:val="center"/>
        <w:tblLook w:firstColumn="1" w:firstRow="1" w:lastColumn="0" w:lastRow="0" w:noHBand="0" w:noVBand="1" w:val="04A0"/>
      </w:tblPr>
      <w:tblGrid>
        <w:gridCol w:w="5083"/>
        <w:gridCol w:w="5083"/>
      </w:tblGrid>
      <w:tr>
        <w:tc>
          <w:tcPr>
            <w:tcW w:type="dxa" w:w="5083"/>
            <w:shd w:fill="F1F1EE"/>
            <w:tcMar>
              <w:top w:w="120" w:type="dxa"/>
              <w:start w:w="120" w:type="dxa"/>
              <w:bottom w:w="120" w:type="dxa"/>
              <w:end w:w="120" w:type="dxa"/>
            </w:tcMar>
          </w:tcPr>
          <w:p>
            <w:r>
              <w:rPr>
                <w:b/>
                <w:sz w:val="16"/>
              </w:rPr>
              <w:t>Products / services</w:t>
            </w:r>
          </w:p>
        </w:tc>
        <w:tc>
          <w:tcPr>
            <w:tcW w:type="dxa" w:w="5083"/>
            <w:tcMar>
              <w:top w:w="120" w:type="dxa"/>
              <w:start w:w="120" w:type="dxa"/>
              <w:bottom w:w="120" w:type="dxa"/>
              <w:end w:w="120" w:type="dxa"/>
            </w:tcMar>
          </w:tcPr>
          <w:p>
            <w:r>
              <w:rPr>
                <w:sz w:val="18"/>
              </w:rPr>
              <w:t>[ ]</w:t>
            </w:r>
          </w:p>
        </w:tc>
      </w:tr>
      <w:tr>
        <w:tc>
          <w:tcPr>
            <w:tcW w:type="dxa" w:w="5083"/>
            <w:shd w:fill="F1F1EE"/>
            <w:tcMar>
              <w:top w:w="120" w:type="dxa"/>
              <w:start w:w="120" w:type="dxa"/>
              <w:bottom w:w="120" w:type="dxa"/>
              <w:end w:w="120" w:type="dxa"/>
            </w:tcMar>
          </w:tcPr>
          <w:p>
            <w:r>
              <w:rPr>
                <w:b/>
                <w:sz w:val="16"/>
              </w:rPr>
              <w:t>Market / customers / opportunity</w:t>
            </w:r>
          </w:p>
        </w:tc>
        <w:tc>
          <w:tcPr>
            <w:tcW w:type="dxa" w:w="5083"/>
            <w:tcMar>
              <w:top w:w="120" w:type="dxa"/>
              <w:start w:w="120" w:type="dxa"/>
              <w:bottom w:w="120" w:type="dxa"/>
              <w:end w:w="120" w:type="dxa"/>
            </w:tcMar>
          </w:tcPr>
          <w:p>
            <w:r>
              <w:rPr>
                <w:sz w:val="18"/>
              </w:rPr>
              <w:t>[ ]</w:t>
            </w:r>
          </w:p>
        </w:tc>
      </w:tr>
      <w:tr>
        <w:tc>
          <w:tcPr>
            <w:tcW w:type="dxa" w:w="5083"/>
            <w:shd w:fill="F1F1EE"/>
            <w:tcMar>
              <w:top w:w="120" w:type="dxa"/>
              <w:start w:w="120" w:type="dxa"/>
              <w:bottom w:w="120" w:type="dxa"/>
              <w:end w:w="120" w:type="dxa"/>
            </w:tcMar>
          </w:tcPr>
          <w:p>
            <w:r>
              <w:rPr>
                <w:b/>
                <w:sz w:val="16"/>
              </w:rPr>
              <w:t>MRLD activities</w:t>
            </w:r>
          </w:p>
        </w:tc>
        <w:tc>
          <w:tcPr>
            <w:tcW w:type="dxa" w:w="5083"/>
            <w:tcMar>
              <w:top w:w="120" w:type="dxa"/>
              <w:start w:w="120" w:type="dxa"/>
              <w:bottom w:w="120" w:type="dxa"/>
              <w:end w:w="120" w:type="dxa"/>
            </w:tcMar>
          </w:tcPr>
          <w:p>
            <w:r>
              <w:rPr>
                <w:sz w:val="18"/>
              </w:rPr>
              <w:t>[ ]</w:t>
            </w:r>
          </w:p>
        </w:tc>
      </w:tr>
      <w:tr>
        <w:tc>
          <w:tcPr>
            <w:tcW w:type="dxa" w:w="5083"/>
            <w:shd w:fill="F1F1EE"/>
            <w:tcMar>
              <w:top w:w="120" w:type="dxa"/>
              <w:start w:w="120" w:type="dxa"/>
              <w:bottom w:w="120" w:type="dxa"/>
              <w:end w:w="120" w:type="dxa"/>
            </w:tcMar>
          </w:tcPr>
          <w:p>
            <w:r>
              <w:rPr>
                <w:b/>
                <w:sz w:val="16"/>
              </w:rPr>
              <w:t>Compensation structure</w:t>
            </w:r>
          </w:p>
        </w:tc>
        <w:tc>
          <w:tcPr>
            <w:tcW w:type="dxa" w:w="5083"/>
            <w:tcMar>
              <w:top w:w="120" w:type="dxa"/>
              <w:start w:w="120" w:type="dxa"/>
              <w:bottom w:w="120" w:type="dxa"/>
              <w:end w:w="120" w:type="dxa"/>
            </w:tcMar>
          </w:tcPr>
          <w:p>
            <w:r>
              <w:rPr>
                <w:sz w:val="18"/>
              </w:rPr>
              <w:t>[ ]</w:t>
            </w:r>
          </w:p>
        </w:tc>
      </w:tr>
      <w:tr>
        <w:tc>
          <w:tcPr>
            <w:tcW w:type="dxa" w:w="5083"/>
            <w:shd w:fill="F1F1EE"/>
            <w:tcMar>
              <w:top w:w="120" w:type="dxa"/>
              <w:start w:w="120" w:type="dxa"/>
              <w:bottom w:w="120" w:type="dxa"/>
              <w:end w:w="120" w:type="dxa"/>
            </w:tcMar>
          </w:tcPr>
          <w:p>
            <w:r>
              <w:rPr>
                <w:b/>
                <w:sz w:val="16"/>
              </w:rPr>
              <w:t>Attribution / opportunity protection</w:t>
            </w:r>
          </w:p>
        </w:tc>
        <w:tc>
          <w:tcPr>
            <w:tcW w:type="dxa" w:w="5083"/>
            <w:tcMar>
              <w:top w:w="120" w:type="dxa"/>
              <w:start w:w="120" w:type="dxa"/>
              <w:bottom w:w="120" w:type="dxa"/>
              <w:end w:w="120" w:type="dxa"/>
            </w:tcMar>
          </w:tcPr>
          <w:p>
            <w:r>
              <w:rPr>
                <w:sz w:val="18"/>
              </w:rPr>
              <w:t>[ ]</w:t>
            </w:r>
          </w:p>
        </w:tc>
      </w:tr>
      <w:tr>
        <w:tc>
          <w:tcPr>
            <w:tcW w:type="dxa" w:w="5083"/>
            <w:shd w:fill="F1F1EE"/>
            <w:tcMar>
              <w:top w:w="120" w:type="dxa"/>
              <w:start w:w="120" w:type="dxa"/>
              <w:bottom w:w="120" w:type="dxa"/>
              <w:end w:w="120" w:type="dxa"/>
            </w:tcMar>
          </w:tcPr>
          <w:p>
            <w:r>
              <w:rPr>
                <w:b/>
                <w:sz w:val="16"/>
              </w:rPr>
              <w:t>Payment trigger and timing</w:t>
            </w:r>
          </w:p>
        </w:tc>
        <w:tc>
          <w:tcPr>
            <w:tcW w:type="dxa" w:w="5083"/>
            <w:tcMar>
              <w:top w:w="120" w:type="dxa"/>
              <w:start w:w="120" w:type="dxa"/>
              <w:bottom w:w="120" w:type="dxa"/>
              <w:end w:w="120" w:type="dxa"/>
            </w:tcMar>
          </w:tcPr>
          <w:p>
            <w:r>
              <w:rPr>
                <w:sz w:val="18"/>
              </w:rPr>
              <w:t>[ ]</w:t>
            </w:r>
          </w:p>
        </w:tc>
      </w:tr>
      <w:tr>
        <w:tc>
          <w:tcPr>
            <w:tcW w:type="dxa" w:w="5083"/>
            <w:shd w:fill="F1F1EE"/>
            <w:tcMar>
              <w:top w:w="120" w:type="dxa"/>
              <w:start w:w="120" w:type="dxa"/>
              <w:bottom w:w="120" w:type="dxa"/>
              <w:end w:w="120" w:type="dxa"/>
            </w:tcMar>
          </w:tcPr>
          <w:p>
            <w:r>
              <w:rPr>
                <w:b/>
                <w:sz w:val="16"/>
              </w:rPr>
              <w:t>Term</w:t>
            </w:r>
          </w:p>
        </w:tc>
        <w:tc>
          <w:tcPr>
            <w:tcW w:type="dxa" w:w="5083"/>
            <w:tcMar>
              <w:top w:w="120" w:type="dxa"/>
              <w:start w:w="120" w:type="dxa"/>
              <w:bottom w:w="120" w:type="dxa"/>
              <w:end w:w="120" w:type="dxa"/>
            </w:tcMar>
          </w:tcPr>
          <w:p>
            <w:r>
              <w:rPr>
                <w:sz w:val="18"/>
              </w:rPr>
              <w:t>[ ]</w:t>
            </w:r>
          </w:p>
        </w:tc>
      </w:tr>
      <w:tr>
        <w:tc>
          <w:tcPr>
            <w:tcW w:type="dxa" w:w="5083"/>
            <w:shd w:fill="F1F1EE"/>
            <w:tcMar>
              <w:top w:w="120" w:type="dxa"/>
              <w:start w:w="120" w:type="dxa"/>
              <w:bottom w:w="120" w:type="dxa"/>
              <w:end w:w="120" w:type="dxa"/>
            </w:tcMar>
          </w:tcPr>
          <w:p>
            <w:r>
              <w:rPr>
                <w:b/>
                <w:sz w:val="16"/>
              </w:rPr>
              <w:t>Special restrictions or exceptions</w:t>
            </w:r>
          </w:p>
        </w:tc>
        <w:tc>
          <w:tcPr>
            <w:tcW w:type="dxa" w:w="5083"/>
            <w:tcMar>
              <w:top w:w="120" w:type="dxa"/>
              <w:start w:w="120" w:type="dxa"/>
              <w:bottom w:w="120" w:type="dxa"/>
              <w:end w:w="120" w:type="dxa"/>
            </w:tcMar>
          </w:tcPr>
          <w:p>
            <w:r>
              <w:rPr>
                <w:sz w:val="18"/>
              </w:rPr>
              <w:t>[ ]</w:t>
            </w:r>
          </w:p>
        </w:tc>
      </w:tr>
    </w:tbl>
    <w:p/>
    <w:p>
      <w:pPr>
        <w:pStyle w:val="Heading1"/>
      </w:pPr>
      <w:r>
        <w:t>Signatures</w:t>
      </w:r>
    </w:p>
    <w:tbl>
      <w:tblPr>
        <w:tblStyle w:val="TableGrid"/>
        <w:tblW w:type="auto" w:w="0"/>
        <w:jc w:val="center"/>
        <w:tblLook w:firstColumn="1" w:firstRow="1" w:lastColumn="0" w:lastRow="0" w:noHBand="0" w:noVBand="1" w:val="04A0"/>
      </w:tblPr>
      <w:tblGrid>
        <w:gridCol w:w="5083"/>
        <w:gridCol w:w="5083"/>
      </w:tblGrid>
      <w:tr>
        <w:tc>
          <w:tcPr>
            <w:tcW w:type="dxa" w:w="5083"/>
            <w:shd w:fill="F1F1EE"/>
            <w:tcMar>
              <w:top w:w="120" w:type="dxa"/>
              <w:start w:w="120" w:type="dxa"/>
              <w:bottom w:w="120" w:type="dxa"/>
              <w:end w:w="120" w:type="dxa"/>
            </w:tcMar>
          </w:tcPr>
          <w:p>
            <w:r>
              <w:rPr>
                <w:b/>
                <w:sz w:val="16"/>
              </w:rPr>
              <w:t>For Sayudi Inc. / MRLD</w:t>
            </w:r>
          </w:p>
        </w:tc>
        <w:tc>
          <w:tcPr>
            <w:tcW w:type="dxa" w:w="5083"/>
            <w:tcMar>
              <w:top w:w="120" w:type="dxa"/>
              <w:start w:w="120" w:type="dxa"/>
              <w:bottom w:w="120" w:type="dxa"/>
              <w:end w:w="120" w:type="dxa"/>
            </w:tcMar>
          </w:tcPr>
          <w:p>
            <w:r>
              <w:rPr>
                <w:sz w:val="18"/>
              </w:rPr>
              <w:t>Name: Ali Saïd</w:t>
              <w:br/>
              <w:t>Title: Founder &amp; Director</w:t>
              <w:br/>
              <w:t>Signature: ____________________</w:t>
              <w:br/>
              <w:t>Date: ____________________</w:t>
            </w:r>
          </w:p>
        </w:tc>
      </w:tr>
      <w:tr>
        <w:tc>
          <w:tcPr>
            <w:tcW w:type="dxa" w:w="5083"/>
            <w:shd w:fill="F1F1EE"/>
            <w:tcMar>
              <w:top w:w="120" w:type="dxa"/>
              <w:start w:w="120" w:type="dxa"/>
              <w:bottom w:w="120" w:type="dxa"/>
              <w:end w:w="120" w:type="dxa"/>
            </w:tcMar>
          </w:tcPr>
          <w:p>
            <w:r>
              <w:rPr>
                <w:b/>
                <w:sz w:val="16"/>
              </w:rPr>
              <w:t>For Manufacturer</w:t>
            </w:r>
          </w:p>
        </w:tc>
        <w:tc>
          <w:tcPr>
            <w:tcW w:type="dxa" w:w="5083"/>
            <w:tcMar>
              <w:top w:w="120" w:type="dxa"/>
              <w:start w:w="120" w:type="dxa"/>
              <w:bottom w:w="120" w:type="dxa"/>
              <w:end w:w="120" w:type="dxa"/>
            </w:tcMar>
          </w:tcPr>
          <w:p>
            <w:r>
              <w:rPr>
                <w:sz w:val="18"/>
              </w:rPr>
              <w:t>Name: ____________________</w:t>
              <w:br/>
              <w:t>Title: ____________________</w:t>
              <w:br/>
              <w:t>Signature: ____________________</w:t>
              <w:br/>
              <w:t>Date: ____________________</w:t>
            </w:r>
          </w:p>
        </w:tc>
      </w:tr>
    </w:tbl>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C6265"/>
        <w:sz w:val="13"/>
      </w:rPr>
      <w:t>MRLD · A SAYUDI INC. COMPANY · mrldx.com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ook w:firstColumn="1" w:firstRow="1" w:lastColumn="0" w:lastRow="0" w:noHBand="0" w:noVBand="1" w:val="04A0"/>
    </w:tblPr>
    <w:tblGrid>
      <w:gridCol w:w="6480"/>
      <w:gridCol w:w="3600"/>
    </w:tblGrid>
    <w:tr>
      <w:tc>
        <w:tcPr>
          <w:tcW w:type="dxa" w:w="5040"/>
        </w:tcPr>
        <w:p>
          <w:r>
            <w:drawing>
              <wp:inline xmlns:a="http://schemas.openxmlformats.org/drawingml/2006/main" xmlns:pic="http://schemas.openxmlformats.org/drawingml/2006/picture">
                <wp:extent cx="237744" cy="237744"/>
                <wp:docPr id="1" name="Picture 1"/>
                <wp:cNvGraphicFramePr>
                  <a:graphicFrameLocks noChangeAspect="1"/>
                </wp:cNvGraphicFramePr>
                <a:graphic>
                  <a:graphicData uri="http://schemas.openxmlformats.org/drawingml/2006/picture">
                    <pic:pic>
                      <pic:nvPicPr>
                        <pic:cNvPr id="0" name="mrld-symbol-web.png"/>
                        <pic:cNvPicPr/>
                      </pic:nvPicPr>
                      <pic:blipFill>
                        <a:blip r:embed="rId1"/>
                        <a:stretch>
                          <a:fillRect/>
                        </a:stretch>
                      </pic:blipFill>
                      <pic:spPr>
                        <a:xfrm>
                          <a:off x="0" y="0"/>
                          <a:ext cx="237744" cy="237744"/>
                        </a:xfrm>
                        <a:prstGeom prst="rect"/>
                      </pic:spPr>
                    </pic:pic>
                  </a:graphicData>
                </a:graphic>
              </wp:inline>
            </w:drawing>
          </w:r>
          <w:r>
            <w:rPr>
              <w:rFonts w:ascii="Arial" w:hAnsi="Arial"/>
              <w:b/>
              <w:color w:val="202426"/>
              <w:sz w:val="22"/>
            </w:rPr>
            <w:t xml:space="preserve">  MRLD</w:t>
          </w:r>
        </w:p>
      </w:tc>
      <w:tc>
        <w:tcPr>
          <w:tcW w:type="dxa" w:w="5040"/>
        </w:tcPr>
        <w:p>
          <w:pPr>
            <w:jc w:val="right"/>
          </w:pPr>
          <w:r>
            <w:rPr>
              <w:b/>
              <w:color w:val="5C6265"/>
              <w:sz w:val="13"/>
            </w:rPr>
            <w:t>DISCUSSION DRAFT · NON-BINDING EXCEPT WHERE AGREED</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color w:val="202426"/>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ascii="Arial" w:hAnsi="Arial"/>
      <w:b/>
      <w:bCs/>
      <w:color w:val="202426"/>
      <w:sz w:val="32"/>
      <w:szCs w:val="28"/>
    </w:rPr>
  </w:style>
  <w:style w:type="paragraph" w:styleId="Heading2">
    <w:name w:val="heading 2"/>
    <w:basedOn w:val="Normal"/>
    <w:next w:val="Normal"/>
    <w:link w:val="Heading2Char"/>
    <w:uiPriority w:val="9"/>
    <w:unhideWhenUsed/>
    <w:qFormat/>
    <w:rsid w:val="00FC693F"/>
    <w:pPr>
      <w:keepNext/>
      <w:keepLines/>
      <w:spacing w:before="80" w:after="100"/>
      <w:outlineLvl w:val="1"/>
    </w:pPr>
    <w:rPr>
      <w:rFonts w:asciiTheme="majorHAnsi" w:eastAsiaTheme="majorEastAsia" w:hAnsiTheme="majorHAnsi" w:cstheme="majorBidi" w:ascii="Arial" w:hAnsi="Arial"/>
      <w:b/>
      <w:bCs/>
      <w:color w:val="B56A3C"/>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160"/>
      <w:contextualSpacing/>
    </w:pPr>
    <w:rPr>
      <w:rFonts w:asciiTheme="majorHAnsi" w:eastAsiaTheme="majorEastAsia" w:hAnsiTheme="majorHAnsi" w:cstheme="majorBidi" w:ascii="Arial" w:hAnsi="Arial"/>
      <w:b/>
      <w:color w:val="202426"/>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RLDLabel">
    <w:name w:val="MRLD Label"/>
    <w:pPr>
      <w:spacing w:after="120"/>
    </w:pPr>
    <w:rPr>
      <w:rFonts w:ascii="Arial" w:hAnsi="Arial"/>
      <w:b/>
      <w:color w:val="B56A3C"/>
      <w:sz w:val="1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