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FC5B8E">
      <w:pPr>
        <w:spacing w:after="40"/>
        <w:jc w:val="center"/>
      </w:pPr>
      <w:r>
        <w:rPr>
          <w:b/>
          <w:color w:val="1F2A37"/>
          <w:sz w:val="30"/>
        </w:rPr>
        <w:t>EPS 54 Weekly Report — Week 2 (13–21 September 2026)</w:t>
      </w:r>
    </w:p>
    <w:p w14:paraId="4964FA6F">
      <w:pPr>
        <w:jc w:val="center"/>
      </w:pPr>
      <w:r>
        <w:rPr>
          <w:i/>
          <w:color w:val="555555"/>
          <w:sz w:val="17"/>
        </w:rPr>
        <w:t>Student: WANG Yibo (yw2089@hw.ac.uk) | Project: World model informed Spatial-Temporal Risk Field Modeling for Safety Assessment of Autonomous Vehicles | Supervisor: Dr Cheng Wang</w:t>
      </w:r>
    </w:p>
    <w:p w14:paraId="3140028A">
      <w:pPr>
        <w:spacing w:before="240" w:after="80"/>
      </w:pPr>
      <w:r>
        <w:rPr>
          <w:b/>
          <w:color w:val="8A4A2F"/>
          <w:sz w:val="25"/>
        </w:rPr>
        <w:t>1. Work completed this week</w:t>
      </w:r>
    </w:p>
    <w:p w14:paraId="6B47FF2A">
      <w:pPr>
        <w:spacing w:before="160" w:after="40"/>
      </w:pPr>
      <w:r>
        <w:rPr>
          <w:b/>
          <w:color w:val="334A5A"/>
          <w:sz w:val="22"/>
        </w:rPr>
        <w:t>1.1 Development environment and toolchain</w:t>
      </w:r>
    </w:p>
    <w:p w14:paraId="779A9CD4">
      <w:pPr>
        <w:pStyle w:val="16"/>
        <w:numPr>
          <w:numId w:val="0"/>
        </w:numPr>
        <w:ind w:leftChars="0"/>
      </w:pPr>
      <w:r>
        <w:t>Python 3.14.5 with a project virtual environment, and the NumPy / pandas / Matplotlib / Jupyter stack; VS Code configured with the Python and Jupyter extensions. I have an AI agent set up to help explain the code. Version control: repository “Gra” on GitHub (github.com/changhaiWangDVC12, account “dash”).</w:t>
      </w:r>
    </w:p>
    <w:p w14:paraId="368AD422">
      <w:pPr>
        <w:spacing w:before="160" w:after="40"/>
      </w:pPr>
      <w:r>
        <w:rPr>
          <w:b/>
          <w:color w:val="334A5A"/>
          <w:sz w:val="22"/>
        </w:rPr>
        <w:t>1.2 Deep learning fundamentals (per plan)</w:t>
      </w:r>
    </w:p>
    <w:p w14:paraId="78BA670D">
      <w:pPr>
        <w:pStyle w:val="16"/>
        <w:numPr>
          <w:numId w:val="0"/>
        </w:numPr>
        <w:ind w:leftChars="0"/>
      </w:pPr>
      <w:r>
        <w:t>1.  “Dive into Deep Learning” (link: 2.1. Data Manipulation — Dive into Deep Learning 2.0.0 documentation), Chapters 1–2: data manipulation (2.1), data preprocessing (2.2), linear algebra (2.3, including 2.3.7–2.3.10 — dot product, matrix-vector product, matrix multiplication, norms). Of these, 2.3.7–2.3.10 were organised into a separate Chinese-language study page, because these operations are the language in which risk-field formulas are written.</w:t>
      </w:r>
    </w:p>
    <w:p w14:paraId="608AA418">
      <w:pPr>
        <w:pStyle w:val="16"/>
        <w:numPr>
          <w:numId w:val="0"/>
        </w:numPr>
        <w:ind w:leftChars="0"/>
      </w:pPr>
      <w:r>
        <w:t>2.  2.4 completed (calculus): derivatives, partial derivatives, gradients and the chain rule. I can now explain clearly that a risk field is a scalar field defined over space, so the negative gradient is the direction in which risk decreases fastest — that is, the avoidance direction.</w:t>
      </w:r>
    </w:p>
    <w:p w14:paraId="693702EB">
      <w:pPr>
        <w:spacing w:before="160" w:after="40"/>
      </w:pPr>
      <w:r>
        <w:rPr>
          <w:b/>
          <w:color w:val="334A5A"/>
          <w:sz w:val="22"/>
        </w:rPr>
        <w:t>1.3 Hands-on exercises L0-1 to L0-3 (all working, with code and figures)</w:t>
      </w:r>
    </w:p>
    <w:p w14:paraId="17F299CB">
      <w:pPr>
        <w:pStyle w:val="16"/>
        <w:numPr>
          <w:numId w:val="0"/>
        </w:numPr>
        <w:ind w:leftChars="0"/>
      </w:pPr>
      <w:r>
        <w:t>Exercise 1 — synthetic trajectory data: 100 frames per vehicle (10 Hz, covering 9.9 s). Vehicle A travels straight in lane y = 0 at 15 m/s; vehicle B travels straight in the adjacent lane y = 3.5 m at 12 m/s, initially 60 m ahead of A.</w:t>
      </w:r>
    </w:p>
    <w:p w14:paraId="3B28CF63">
      <w:pPr>
        <w:pStyle w:val="16"/>
        <w:numPr>
          <w:numId w:val="0"/>
        </w:numPr>
        <w:ind w:leftChars="0"/>
      </w:pPr>
      <w:r>
        <w:t>Exercise 2 — distance matrix and TTC: computed the full 100×100 distance matrix D between any two frames of the two vehicles in a single broadcasting operation, took its diagonal as the same-frame distance d(t), and divided by the longitudinal relative speed (3 m/s) to obtain TTC(t). Fully vectorised, with no per-frame for loop.</w:t>
      </w:r>
    </w:p>
    <w:p w14:paraId="0825A58E">
      <w:pPr>
        <w:pStyle w:val="16"/>
        <w:numPr>
          <w:numId w:val="0"/>
        </w:numPr>
        <w:ind w:leftChars="0"/>
      </w:pPr>
      <w:r>
        <w:t>Exercise 3 — bird’s-eye-view (BEV) plot: x/y scaling 1:1; drew both lane centre lines (y = 0 and y = 3.5 m) and both trajectories (coloured by speed), with the axes labelled in metres.</w:t>
      </w:r>
    </w:p>
    <w:p w14:paraId="3A37C937">
      <w:pPr>
        <w:spacing w:before="160" w:after="40"/>
      </w:pPr>
      <w:r>
        <w:rPr>
          <w:b/>
          <w:color w:val="334A5A"/>
          <w:sz w:val="22"/>
        </w:rPr>
        <w:t>1.4 A finding</w:t>
      </w:r>
    </w:p>
    <w:p w14:paraId="1193C60D">
      <w:pPr>
        <w:pStyle w:val="16"/>
        <w:numPr>
          <w:numId w:val="0"/>
        </w:numPr>
        <w:ind w:leftChars="0"/>
      </w:pPr>
      <w:r>
        <w:t>In the scenario of Exercise 3, the longitudinal-only TTC falls from 20.03 s to 10.17 s, which looks “very safe”; yet the two vehicles remain in two different lanes throughout — their minimum same-frame separation is 30.50 m while the two lane centre lines are only 3.5 m apart, so geometrically they can never collide. In other words: TTC takes into account only the longitudinal relative distance and the longitudinal relative speed; the lateral dimension never enters the metric at all. It raises a false alarm for a scenario that can never be hit, and it is blind to a genuinely oblique cut-in conflict. This is exactly the criticism in the project brief (“focuses only on the longitudinal dimension and does not cover the whole driving space”), and it is the first gap in the baseline that I intend to establish with numbers.</w:t>
      </w:r>
    </w:p>
    <w:p w14:paraId="2947FD1E">
      <w:pPr>
        <w:spacing w:before="160" w:after="40"/>
      </w:pPr>
      <w:r>
        <w:rPr>
          <w:b/>
          <w:color w:val="334A5A"/>
          <w:sz w:val="22"/>
        </w:rPr>
        <w:t>1.5 Literature</w:t>
      </w:r>
    </w:p>
    <w:p w14:paraId="57C5B18E">
      <w:pPr>
        <w:pStyle w:val="16"/>
        <w:numPr>
          <w:numId w:val="0"/>
        </w:numPr>
        <w:ind w:leftChars="0"/>
      </w:pPr>
      <w:r>
        <w:t xml:space="preserve">Started reading by method family, </w:t>
      </w:r>
      <w:bookmarkStart w:id="0" w:name="_GoBack"/>
      <w:bookmarkEnd w:id="0"/>
      <w:r>
        <w:t>not as a chronological log. Have read the abstract and introduction of the criticality-metrics survey (arXiv:2108.02403); its classification table can serve directly as the coordinate system of the generation of metrics I intend to critique.</w:t>
      </w:r>
    </w:p>
    <w:p w14:paraId="56DA9C75">
      <w:pPr>
        <w:pStyle w:val="16"/>
        <w:numPr>
          <w:numId w:val="0"/>
        </w:numPr>
        <w:ind w:leftChars="0"/>
      </w:pPr>
    </w:p>
    <w:p w14:paraId="5F1F912F">
      <w:pPr>
        <w:pStyle w:val="16"/>
        <w:numPr>
          <w:numId w:val="0"/>
        </w:numPr>
        <w:ind w:leftChars="0"/>
        <w:rPr>
          <w:rFonts w:hint="default" w:eastAsia="微软雅黑"/>
          <w:lang w:val="en-US" w:eastAsia="zh-CN"/>
        </w:rPr>
      </w:pPr>
      <w:r>
        <w:rPr>
          <w:rFonts w:hint="eastAsia"/>
          <w:lang w:val="en-US" w:eastAsia="zh-CN"/>
        </w:rPr>
        <w:t>Although my technical foundation isn</w:t>
      </w:r>
      <w:r>
        <w:rPr>
          <w:rFonts w:hint="default"/>
          <w:lang w:val="en-US" w:eastAsia="zh-CN"/>
        </w:rPr>
        <w:t>’</w:t>
      </w:r>
      <w:r>
        <w:rPr>
          <w:rFonts w:hint="eastAsia"/>
          <w:lang w:val="en-US" w:eastAsia="zh-CN"/>
        </w:rPr>
        <w:t>t strong,I will still strive to do well.</w:t>
      </w:r>
    </w:p>
    <w:p w14:paraId="592BFDCA">
      <w:pPr>
        <w:spacing w:before="240" w:after="80"/>
      </w:pPr>
      <w:r>
        <w:rPr>
          <w:b/>
          <w:color w:val="8A4A2F"/>
          <w:sz w:val="25"/>
        </w:rPr>
        <w:t>2. Problems encountered</w:t>
      </w:r>
    </w:p>
    <w:p w14:paraId="6C1B8B1F">
      <w:pPr>
        <w:spacing w:before="160" w:after="40"/>
      </w:pPr>
      <w:r>
        <w:rPr>
          <w:b/>
          <w:color w:val="334A5A"/>
          <w:sz w:val="22"/>
        </w:rPr>
        <w:t>2.1 Conceptual level (still being filled in)</w:t>
      </w:r>
    </w:p>
    <w:p w14:paraId="57D86A03">
      <w:pPr>
        <w:pStyle w:val="16"/>
        <w:numPr>
          <w:numId w:val="0"/>
        </w:numPr>
        <w:ind w:leftChars="0"/>
      </w:pPr>
      <w:r>
        <w:rPr>
          <w:rFonts w:hint="eastAsia"/>
          <w:lang w:val="en-US" w:eastAsia="zh-CN"/>
        </w:rPr>
        <w:t>1.</w:t>
      </w:r>
      <w:r>
        <w:t>Shape and broadcasting are the part of hands-on work in which it is easiest to make a mistake (getting axis and keepdims the wrong way round raises no error but computes the wrong thing). My countermeasure at the moment is to print the shapes as a self-check after everything I write.</w:t>
      </w:r>
    </w:p>
    <w:p w14:paraId="4C047BD2">
      <w:pPr>
        <w:pStyle w:val="16"/>
        <w:numPr>
          <w:numId w:val="0"/>
        </w:numPr>
        <w:ind w:leftChars="0"/>
      </w:pPr>
      <w:r>
        <w:rPr>
          <w:rFonts w:hint="eastAsia"/>
          <w:lang w:val="en-US" w:eastAsia="zh-CN"/>
        </w:rPr>
        <w:t>2.</w:t>
      </w:r>
      <w:r>
        <w:t>Calculus is not yet at a “usable” level: I can explain the meaning of the gradient, but I cannot yet rewrite the core formulas in field-based papers as functions I can run myself. I plan to close this gap with 2.5 (automatic differentiation) and by reproducing methods later; the goal is to be able to write the core formulas of an EDRF-style method as NumPy functions.</w:t>
      </w:r>
    </w:p>
    <w:p w14:paraId="0F7BD38C">
      <w:pPr>
        <w:spacing w:before="160" w:after="40"/>
      </w:pPr>
      <w:r>
        <w:rPr>
          <w:b/>
          <w:color w:val="334A5A"/>
          <w:sz w:val="22"/>
        </w:rPr>
        <w:t>2.2 Where I need guidance from you (currently blocked here)</w:t>
      </w:r>
    </w:p>
    <w:p w14:paraId="17BA95BA">
      <w:pPr>
        <w:pStyle w:val="16"/>
        <w:numPr>
          <w:numId w:val="0"/>
        </w:numPr>
        <w:ind w:leftChars="0"/>
      </w:pPr>
      <w:r>
        <w:rPr>
          <w:rFonts w:hint="eastAsia"/>
          <w:lang w:val="en-US" w:eastAsia="zh-CN"/>
        </w:rPr>
        <w:t>1.</w:t>
      </w:r>
      <w:r>
        <w:t>Data: which route should the application for the driveresearch dataset take? Do I need to contact the email address contact@driveresearch.tech? Until then I am practising on synthetic trajectories, and I plan to use highD/inD first to get the data format and the code path working.</w:t>
      </w:r>
    </w:p>
    <w:p w14:paraId="43EA6A2A">
      <w:pPr>
        <w:pStyle w:val="16"/>
        <w:numPr>
          <w:numId w:val="0"/>
        </w:numPr>
        <w:ind w:leftChars="0"/>
      </w:pPr>
      <w:r>
        <w:rPr>
          <w:rFonts w:hint="eastAsia"/>
          <w:lang w:val="en-US" w:eastAsia="zh-CN"/>
        </w:rPr>
        <w:t>2.</w:t>
      </w:r>
      <w:r>
        <w:t>Baseline: for the first version, should I reproduce the TTC family, or reproduce a field-based method such as EDRF / spatial-temporal risk fields directly? Is there an internal implementation or code base you would like me to benchmark against?</w:t>
      </w:r>
    </w:p>
    <w:p w14:paraId="142D5070">
      <w:pPr>
        <w:spacing w:before="240" w:after="80"/>
      </w:pPr>
      <w:r>
        <w:rPr>
          <w:b/>
          <w:color w:val="8A4A2F"/>
          <w:sz w:val="25"/>
        </w:rPr>
        <w:t>3. Plan for next week</w:t>
      </w:r>
    </w:p>
    <w:p w14:paraId="7E70D903">
      <w:pPr>
        <w:ind w:left="320" w:hanging="320"/>
      </w:pPr>
      <w:r>
        <w:t>1. d2l 2.5 (automatic differentiation) and 2.6 (probability): read and worked through, with a written summary.</w:t>
      </w:r>
    </w:p>
    <w:p w14:paraId="7D5BED05">
      <w:pPr>
        <w:ind w:left="320" w:hanging="320"/>
      </w:pPr>
      <w:r>
        <w:t>2. Read three surveys (2108.02403 / 2202.02215 / 2403.02622 or 2501.11260), one five-line card per paper recording the content and my takeaways.</w:t>
      </w:r>
    </w:p>
    <w:p w14:paraId="374AF99F">
      <w:pPr>
        <w:ind w:left="320" w:hanging="320"/>
      </w:pPr>
      <w:r>
        <w:t>3. Complete the driveresearch field table (13 fields), clarify what ISO 34502 is used for, and submit the data application via the route you advise.</w:t>
      </w:r>
    </w:p>
    <w:p w14:paraId="7233A7D7">
      <w:pPr>
        <w:ind w:left="320" w:hanging="320"/>
      </w:pPr>
      <w:r>
        <w:t>4. Read the highD data format specification and run its toolkit to produce one BEV plot of my own (without downloading the large files first).</w:t>
      </w:r>
    </w:p>
    <w:p w14:paraId="409AD6F5">
      <w:r>
        <w:t xml:space="preserve">Time invested this week: </w:t>
      </w:r>
      <w:r>
        <w:rPr>
          <w:rFonts w:hint="eastAsia"/>
          <w:lang w:val="en-US" w:eastAsia="zh-CN"/>
        </w:rPr>
        <w:t>15+</w:t>
      </w:r>
      <w:r>
        <w:t xml:space="preserve"> hours (planned load: 8–10 hours per week).</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FFont-Family"/>
    <w:panose1 w:val="00000000000000000000"/>
    <w:charset w:val="00"/>
    <w:family w:val="auto"/>
    <w:pitch w:val="default"/>
    <w:sig w:usb0="00000000" w:usb1="00000000" w:usb2="00000000" w:usb3="00000000" w:csb0="00000000" w:csb1="00000000"/>
  </w:font>
  <w:font w:name="FFont-Family">
    <w:panose1 w:val="02000509000000000000"/>
    <w:charset w:val="00"/>
    <w:family w:val="auto"/>
    <w:pitch w:val="default"/>
    <w:sig w:usb0="00000001"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WRmNzAzMWZkMzViZGFmNTliZTY4OWUwOGIwZWUzNDQifQ=="/>
  </w:docVars>
  <w:rsids>
    <w:rsidRoot w:val="00B47730"/>
    <w:rsid w:val="00034616"/>
    <w:rsid w:val="0006063C"/>
    <w:rsid w:val="0015074B"/>
    <w:rsid w:val="0029639D"/>
    <w:rsid w:val="00326F90"/>
    <w:rsid w:val="00AA1D8D"/>
    <w:rsid w:val="00B47730"/>
    <w:rsid w:val="00CB0664"/>
    <w:rsid w:val="00FC693F"/>
    <w:rsid w:val="2DC53663"/>
    <w:rsid w:val="7EC63932"/>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80" w:line="276" w:lineRule="auto"/>
    </w:pPr>
    <w:rPr>
      <w:rFonts w:ascii="Calibri" w:hAnsi="Calibri"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866</Words>
  <Characters>4438</Characters>
  <Lines>0</Lines>
  <Paragraphs>0</Paragraphs>
  <TotalTime>3</TotalTime>
  <ScaleCrop>false</ScaleCrop>
  <LinksUpToDate>false</LinksUpToDate>
  <CharactersWithSpaces>5276</CharactersWithSpaces>
  <Application>WPS Office_12.1.0.17468_F1E327BC-269C-435d-A152-05C5408002CA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珊</cp:lastModifiedBy>
  <dcterms:modified xsi:type="dcterms:W3CDTF">2026-09-20T23:44:12Z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D353B2D8E53E40E793180F0A49E788CE_12</vt:lpwstr>
  </property>
</Properties>
</file>