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</w:pPr>
      <w:r>
        <w:rPr>
          <w:rFonts w:ascii="Noto Sans CJK SC" w:hAnsi="Noto Sans CJK SC" w:eastAsia="Noto Sans CJK SC"/>
          <w:b/>
          <w:color w:val="F47C20"/>
          <w:sz w:val="20"/>
        </w:rPr>
        <w:t>PRODUCT UI RESEARCH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/>
          <w:color w:val="14213D"/>
          <w:sz w:val="58"/>
        </w:rPr>
        <w:t>灵枢数字员工 UI</w:t>
      </w:r>
    </w:p>
    <w:p>
      <w:pPr>
        <w:spacing w:before="0" w:after="360" w:line="276" w:lineRule="auto"/>
      </w:pPr>
      <w:r>
        <w:rPr>
          <w:rFonts w:ascii="Noto Sans CJK SC" w:hAnsi="Noto Sans CJK SC" w:eastAsia="Noto Sans CJK SC"/>
          <w:b/>
          <w:color w:val="3157D5"/>
          <w:sz w:val="42"/>
        </w:rPr>
        <w:t>竞品研究与产品界面设计建议</w:t>
      </w:r>
    </w:p>
    <w:p>
      <w:pPr>
        <w:spacing w:before="0" w:after="480" w:line="276" w:lineRule="auto"/>
      </w:pPr>
      <w:r>
        <w:rPr>
          <w:rFonts w:ascii="Noto Sans CJK SC" w:hAnsi="Noto Sans CJK SC" w:eastAsia="Noto Sans CJK SC"/>
          <w:b w:val="0"/>
          <w:color w:val="243043"/>
          <w:sz w:val="24"/>
        </w:rPr>
        <w:t>面向贵州特色产业 B2B 出口的「内容创作 40% · 信号提取 30% · 客服承接 30%」数字员工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157D5"/>
                <w:sz w:val="21"/>
              </w:rPr>
              <w:t xml:space="preserve">核心结论  </w:t>
            </w:r>
            <w:r>
              <w:rPr>
                <w:rFonts w:ascii="Noto Sans CJK SC" w:hAnsi="Noto Sans CJK SC" w:eastAsia="Noto Sans CJK SC"/>
                <w:b w:val="0"/>
                <w:color w:val="243043"/>
                <w:sz w:val="21"/>
              </w:rPr>
              <w:t>灵枢不应设计成“内容工具＋数据看板＋客服后台”的拼盘，而应设计成一个可被管理、授权、观察和接管的海外内容增长数字员工。</w:t>
            </w:r>
          </w:p>
        </w:tc>
      </w:tr>
    </w:tbl>
    <w:p>
      <w:pPr>
        <w:spacing w:after="20"/>
      </w:pPr>
    </w:p>
    <w:p>
      <w:pPr>
        <w:pStyle w:val="Heading1"/>
      </w:pPr>
      <w:r>
        <w:t>研究范围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重点样本：Omneky、Creatify、Hermoso、Adanamous、Predis.ai，并参考广告平台原生自动化的交互逻辑。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观察维度：Agent入口、目标设定、创作工作台、数据反馈、行动记录、自主权限、异常审批与商业结果。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截图来自公开产品页面。由于多数后台需要注册，本报告分析的是公开可验证的产品结构与交互表达，不把营销演示图当作完整实装证明。</w:t>
      </w:r>
    </w:p>
    <w:p>
      <w:pPr>
        <w:pStyle w:val="Heading1"/>
      </w:pPr>
      <w:r>
        <w:t>一、结论先行：应该采用“员工驾驶舱”，不是“功能后台”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243043"/>
          <w:sz w:val="21"/>
        </w:rPr>
        <w:t>传统营销软件把页面按功能拆分：素材、脚本、日历、发布、数据、会话。数字员工产品应把页面按管理动作组织：设目标、看它在做什么、审批高风险动作、理解它学到了什么、接管高价值机会。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界面问题</w:t>
            </w:r>
          </w:p>
        </w:tc>
        <w:tc>
          <w:tcPr>
            <w:tcW w:type="dxa" w:w="324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传统工具答案</w:t>
            </w:r>
          </w:p>
        </w:tc>
        <w:tc>
          <w:tcPr>
            <w:tcW w:type="dxa" w:w="432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灵枢应给出的答案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今天要做什么？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用户自己进入各模块操作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数字员工展示今日计划、进行中任务与预计结果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为什么这样做？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数据散落在多个报表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每个行动附带信号、判断、置信度和目标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什么需要人工？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所有步骤都需要人协调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只把审批、异常和高价值客户放入人工队列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如何衡量？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内容数、播放量、回复量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目标买家触达、有效信号、合格商机与可归因结果</w:t>
            </w:r>
          </w:p>
        </w:tc>
      </w:tr>
    </w:tbl>
    <w:p>
      <w:pPr>
        <w:spacing w:after="40"/>
      </w:pPr>
    </w:p>
    <w:p>
      <w:pPr>
        <w:pStyle w:val="Heading1"/>
      </w:pPr>
      <w:r>
        <w:t>二、竞品界面观察</w:t>
      </w:r>
    </w:p>
    <w:p>
      <w:pPr>
        <w:pStyle w:val="Heading2"/>
      </w:pPr>
      <w:r>
        <w:t>2.1 Creatify：用“一个岗位”替代复杂广告菜单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fy-media-bu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1  Creatify 直接把产品包装成 AI 效果营销专家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来源：https://creatify.ai/features/media-buyer（2026-08-29访问；官方产品页截图）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优点：第一屏只讲角色、目标和覆盖平台，减少用户理解成本。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可借鉴：灵枢首页应先出现“海外内容增长员工”，而不是“AI创作、信号中心、客服”等模块名称。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不应照搬：Creatify仍以广告账户和效果投放为中心，缺少贵州B2B出口所需的产品证据、渠道商信号和人工业务接管。</w:t>
      </w:r>
    </w:p>
    <w:p>
      <w:pPr>
        <w:pStyle w:val="Heading2"/>
      </w:pPr>
      <w:r>
        <w:t>2.2 Hermoso：Agent在中央，营销工具退到执行层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2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moso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2  Hermoso 把自身定位为通用 Agent 可调用的营销执行层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来源：https://hermoso.ai/（2026-08-29访问；官方产品页截图）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2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moso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3  Hermoso 的工作室仍保留素材、排期、广告研究等工具视图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来源：https://hermoso.ai/（2026-08-29访问；官方产品页截图）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优点：对话/Agent是主入口，工具是Agent的能力，不要求用户逐一协调。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可借鉴：灵枢可以保留素材、日历和会话页，但默认入口必须是员工驾驶舱和任务流。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风险：完全对话式界面不利于批量审核、跨国家比较和管理经营结果，因此不能只做聊天窗口。</w:t>
      </w:r>
    </w:p>
    <w:p>
      <w:pPr>
        <w:pStyle w:val="Heading2"/>
      </w:pPr>
      <w:r>
        <w:t>2.3 Adanamous：把自主运营拆成四个可理解阶段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namous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4  Adanamous 以“自主媒体买手”建立角色认知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来源：https://adanamous.com/（2026-08-29访问；官方产品页截图）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namous-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5  市场机会、创意、执行、优化四段式能力表达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来源：https://adanamous.com/（2026-08-29访问；官方产品页截图）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优点：用“寻找机会—转成创意—上线执行—放大有效结果”讲闭环，而不是罗列功能。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可借鉴：灵枢的业务闭环可改为“发现市场信号—生产内容—客户互动—学习与再行动”。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关键补充：B2B出口必须增加证据与审批层，不能让Agent未经授权承诺价格、认证、交期或渠道政策。</w:t>
      </w:r>
    </w:p>
    <w:p>
      <w:pPr>
        <w:pStyle w:val="Heading2"/>
      </w:pPr>
      <w:r>
        <w:t>2.4 Predis.ai：自动发帖的流程清楚，但仍停留在效率工具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fy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6  Predis.ai 的“连接品牌—生成内容—自动发布”三步结构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来源：https://predis.ai/auto-post/（2026-08-29访问；官方产品页截图）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优点：上手路径短、指标直观，适合表现“设一次，持续运行”。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不足：强调节省工时和发帖量，没有呈现为什么创作、从市场学到了什么、是否触达正确买家。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对灵枢的启示：效率指标只放二级；一级必须是买家信号、市场假设和商业机会。</w:t>
      </w:r>
    </w:p>
    <w:p>
      <w:pPr>
        <w:pStyle w:val="Heading2"/>
      </w:pPr>
      <w:r>
        <w:t>2.5 Omneky：Agent连接营销栈，但高风险动作保留确认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eky-mc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43043"/>
          <w:sz w:val="18"/>
        </w:rPr>
        <w:t>图 7  Omneky 把 Agent 与品牌、商品、广告和效果数据连接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87386"/>
          <w:sz w:val="16"/>
        </w:rPr>
        <w:t>来源：https://www.omneky.com/mcp（2026-08-29访问；官方产品页截图）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优点：通过自然语言分析、生成、发布和优化，同时把外部平台连接明确展示。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可借鉴：对花钱、外发和业务承诺设明确确认点；低风险动作自动执行。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界面要求：每个动作必须展示“将影响什么、使用多少预算、基于什么判断、是否可撤回”。</w:t>
      </w:r>
    </w:p>
    <w:p>
      <w:pPr>
        <w:pStyle w:val="Heading1"/>
      </w:pPr>
      <w:r>
        <w:t>三、灵枢推荐的信息架构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157D5"/>
                <w:sz w:val="21"/>
              </w:rPr>
              <w:t xml:space="preserve">设计原则  </w:t>
            </w:r>
            <w:r>
              <w:rPr>
                <w:rFonts w:ascii="Noto Sans CJK SC" w:hAnsi="Noto Sans CJK SC" w:eastAsia="Noto Sans CJK SC"/>
                <w:b w:val="0"/>
                <w:color w:val="243043"/>
                <w:sz w:val="21"/>
              </w:rPr>
              <w:t>一级导航围绕管理数字员工，二级工作台才围绕内容、信号和会话。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一级页面</w:t>
            </w:r>
          </w:p>
        </w:tc>
        <w:tc>
          <w:tcPr>
            <w:tcW w:type="dxa" w:w="288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4608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1. 员工驾驶舱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它负责什么、现在怎么样？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目标、市场、进行中任务、关键结果、异常、待人工事项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2. 内容工作台（40%）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它在生产和发布什么？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策略、选题、素材、脚本、版本、审核、日历、投流实验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3. 信号中心（30%）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海外市场在反馈什么？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品牌、需求、渠道、采购、竞品、风险信号及证据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4. 客户承接（30%）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哪些互动需要回复或转交？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统一收件箱、身份判断、建议回复、线索评分、人工接管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5. 结果与学习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它带来了什么并学到了什么？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买家触达、有效信号、合格商机、内容归因、策略记忆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6. 权限与连接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它能自主做到哪一步？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账号、预算、自动发布、外发、合规红线、审批和审计</w:t>
            </w:r>
          </w:p>
        </w:tc>
      </w:tr>
    </w:tbl>
    <w:p>
      <w:pPr>
        <w:spacing w:after="40"/>
      </w:pPr>
    </w:p>
    <w:p>
      <w:pPr>
        <w:pStyle w:val="Heading1"/>
      </w:pPr>
      <w:r>
        <w:t>四、六个关键页面的界面草案</w:t>
      </w:r>
    </w:p>
    <w:p>
      <w:pPr>
        <w:pStyle w:val="Heading2"/>
      </w:pPr>
      <w:r>
        <w:t>4.1 员工驾驶舱：首页不是数据大屏，而是管理面板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561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建议组件</w:t>
            </w:r>
          </w:p>
        </w:tc>
        <w:tc>
          <w:tcPr>
            <w:tcW w:type="dxa" w:w="180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顶部目标条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目标国家、买家类型、周期目标、预算、自主等级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今日行动流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正在研究/生成/发布/回复/等待审批的任务时间线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四项核心结果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目标买家触达、有效信号、合格对话、人工接管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Agent判断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本周学到的三件事、下一步建议、置信度和证据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人工收件箱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待审批内容、风险回复、高价值客户、资料缺口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P0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经营趋势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按国家、产品、买家角色查看漏斗和内容贡献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  <w:color w:val="3157D5"/>
          <w:sz w:val="21"/>
        </w:rPr>
        <w:t>推荐布局：左侧窄导航；中央70%为目标与行动时间线；右侧30%为“需要你处理”与风险。不要首屏堆十几个图表。</w:t>
      </w:r>
    </w:p>
    <w:p>
      <w:pPr>
        <w:pStyle w:val="Heading2"/>
      </w:pPr>
      <w:r>
        <w:t>4.2 内容工作台：以“内容任务”而不是“编辑器”组织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左栏：市场、买家角色、采购阶段、内容目标和证据来源。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中栏：脚本/图文/视频的多版本画布，显示Agent为何选这个角度。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右栏：品牌事实、合规、平台格式、CTA和发布建议。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底部：版本对比、审批、发布/投流、回滚与行动审计。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157D5"/>
                <w:sz w:val="21"/>
              </w:rPr>
              <w:t xml:space="preserve">关键差异  </w:t>
            </w:r>
            <w:r>
              <w:rPr>
                <w:rFonts w:ascii="Noto Sans CJK SC" w:hAnsi="Noto Sans CJK SC" w:eastAsia="Noto Sans CJK SC"/>
                <w:b w:val="0"/>
                <w:color w:val="243043"/>
                <w:sz w:val="21"/>
              </w:rPr>
              <w:t>每条内容必须绑定“面向谁、解决什么采购问题、使用什么证据、希望触发什么信号”，否则只是普通AIGC。</w:t>
            </w:r>
          </w:p>
        </w:tc>
      </w:tr>
    </w:tbl>
    <w:p>
      <w:pPr>
        <w:spacing w:after="20"/>
      </w:pPr>
    </w:p>
    <w:p>
      <w:pPr>
        <w:pStyle w:val="Heading2"/>
      </w:pPr>
      <w:r>
        <w:t>4.3 信号中心：不要做成社媒舆情大屏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默认展示“值得行动的信号流”，不是所有点赞评论。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每条信号包含：来源、国家、客户/公司、信号类型、强度、证据、建议动作。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信号类型建议固定为：品牌兴趣、产品需求、采购意向、渠道合作、专业技术、竞品机会、风险。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一键触发：生成解释内容、补充FAQ、提高投流、降低频率、创建客服任务、转交人工。</w:t>
      </w:r>
    </w:p>
    <w:p>
      <w:pPr>
        <w:pStyle w:val="Heading2"/>
      </w:pPr>
      <w:r>
        <w:t>4.4 客户承接：轻客服，强识别与转交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三栏式：对话列表—当前对话—客户/公司与信号侧栏。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Agent先完成语言识别、公司识别、买家类型判断和标准资料调用。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界面重点显示“为什么判断为渠道商/采购商”“缺什么资格信息”“是否需要人工”。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不在P0建设工单、售后、物流、退款和完整CRM。</w:t>
      </w:r>
    </w:p>
    <w:p>
      <w:pPr>
        <w:pStyle w:val="Heading2"/>
      </w:pPr>
      <w:r>
        <w:t>4.5 自主权限中心：数字员工必须可控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232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默认模式</w:t>
            </w:r>
          </w:p>
        </w:tc>
        <w:tc>
          <w:tcPr>
            <w:tcW w:type="dxa" w:w="4248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建议边界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研究、分析、生成草稿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自动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保留来源与模型判断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已批准模板的自然发布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自动/批量授权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限定账号、国家、频率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首次发布或敏感行业内容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审批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事实、合规、品牌三项检查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小额投流调整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阈值内自动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日预算、单次增幅、止损线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标准资料回复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自动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只调用已批准知识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价格、交期、认证、独家代理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人工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禁止Agent自主承诺</w:t>
            </w:r>
          </w:p>
        </w:tc>
      </w:tr>
    </w:tbl>
    <w:p>
      <w:pPr>
        <w:spacing w:after="40"/>
      </w:pPr>
    </w:p>
    <w:p>
      <w:pPr>
        <w:pStyle w:val="Heading2"/>
      </w:pPr>
      <w:r>
        <w:t>4.6 结果与学习：展示“它学会了什么”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内容层：哪些角度、格式、语言和平台有效。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信号层：哪些国家、买家角色和问题正在升温。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客服层：哪些问题最常见，哪些对话转为有效商机。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组织层：Agent采取了哪些行动、节省多少人工、产生哪些需要业务员接管的机会。</w:t>
      </w:r>
    </w:p>
    <w:p>
      <w:pPr>
        <w:pStyle w:val="Heading1"/>
      </w:pPr>
      <w:r>
        <w:t>五、P0开发范围与4:3:3落地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5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能力包</w:t>
            </w:r>
          </w:p>
        </w:tc>
        <w:tc>
          <w:tcPr>
            <w:tcW w:type="dxa" w:w="122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开发占比</w:t>
            </w:r>
          </w:p>
        </w:tc>
        <w:tc>
          <w:tcPr>
            <w:tcW w:type="dxa" w:w="4031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P0必须完成</w:t>
            </w:r>
          </w:p>
        </w:tc>
        <w:tc>
          <w:tcPr>
            <w:tcW w:type="dxa" w:w="2448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暂缓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内容创作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40%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知识约束、策略/选题、多语内容、视频/图文、审核、发布、基础投流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复杂视频模型管理、重型素材资产管理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信号提取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30%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评论/私信/数据接入、七类信号、证据、强度、建议动作、策略回流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全网舆情、过度复杂预测模型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客服承接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30%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统一会话、标准回复、公司/角色识别、资格补全、人工接管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售后工单、退款物流、完整CRM、合同与报价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157D5"/>
                <w:sz w:val="21"/>
              </w:rPr>
              <w:t xml:space="preserve">P0演示主线  </w:t>
            </w:r>
            <w:r>
              <w:rPr>
                <w:rFonts w:ascii="Noto Sans CJK SC" w:hAnsi="Noto Sans CJK SC" w:eastAsia="Noto Sans CJK SC"/>
                <w:b w:val="0"/>
                <w:color w:val="243043"/>
                <w:sz w:val="21"/>
              </w:rPr>
              <w:t>设定一个贵州茶/农特产品的东南亚渠道增长目标 → Agent生成并发布内容 → 捕捉“认证/MOQ/代理”信号 → 自动回复并识别海外渠道商 → 人工接管 → Agent根据反馈调整下一轮内容。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六、视觉与交互规范建议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视觉气质：可信、专业、克制，避免“炫技型AI霓虹大屏”。贵州产业企业更需要可控与可解释。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状态颜色：蓝色=计划/进行中，绿色=已完成，橙色=需审批，红色=风险/越界，灰色=等待外部输入。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每个Agent动作使用统一行动卡：目标、依据、动作、影响、权限、结果、下一步。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重要AI判断必须展示证据与置信度，允许用户纠正并形成组织记忆。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对话不是唯一入口；批量审核、信号队列和结果对比必须采用结构化界面。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  <w:b w:val="0"/>
          <w:color w:val="243043"/>
          <w:sz w:val="20"/>
        </w:rPr>
        <w:t>移动端只做审批、异常和高价值客户提醒；完整创作与分析放桌面端。</w:t>
      </w:r>
    </w:p>
    <w:p>
      <w:pPr>
        <w:pStyle w:val="Heading1"/>
      </w:pPr>
      <w:r>
        <w:t>七、最终建议</w:t>
      </w:r>
    </w:p>
    <w:p>
      <w:pPr>
        <w:spacing w:before="0" w:after="200" w:line="276" w:lineRule="auto"/>
      </w:pPr>
      <w:r>
        <w:rPr>
          <w:rFonts w:ascii="Noto Sans CJK SC" w:hAnsi="Noto Sans CJK SC" w:eastAsia="Noto Sans CJK SC"/>
          <w:b/>
          <w:color w:val="14213D"/>
          <w:sz w:val="24"/>
        </w:rPr>
        <w:t>灵枢前端应当让客户感觉自己“雇佣并管理了一名海外内容增长员工”，而不是购买了一套功能更多的内容平台。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应强化</w:t>
            </w:r>
          </w:p>
        </w:tc>
        <w:tc>
          <w:tcPr>
            <w:tcW w:type="dxa" w:w="4680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应弱化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员工目标、行动流、判断依据、学习结果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首页堆叠传统流量图表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内容—信号—客服三者的闭环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三个独立系统式导航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授权边界、审批、异常与审计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宣称完全无人监管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目标买家、渠道信号和合格商机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只强调发帖量、播放量、节省工时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企业证据和B2B采购语境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043"/>
                <w:sz w:val="17"/>
              </w:rPr>
              <w:t>通用消费品爆款模板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color w:val="243043"/>
          <w:sz w:val="21"/>
        </w:rPr>
        <w:t>建议下一步直接制作六页高保真原型：员工驾驶舱、内容任务、信号中心、客户承接、自主权限、结果与学习。先用一个真实贵州品牌和一个目标国家跑通演示数据，再扩展多品牌控制塔。</w:t>
      </w:r>
    </w:p>
    <w:p>
      <w:pPr>
        <w:pStyle w:val="Heading1"/>
      </w:pPr>
      <w:r>
        <w:t>附录：公开来源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243043"/>
          <w:sz w:val="18"/>
        </w:rPr>
        <w:t>Omneky MCP：</w:t>
      </w:r>
      <w:r>
        <w:rPr>
          <w:rFonts w:ascii="Noto Sans CJK SC" w:hAnsi="Noto Sans CJK SC" w:eastAsia="Noto Sans CJK SC"/>
          <w:b w:val="0"/>
          <w:color w:val="3157D5"/>
          <w:sz w:val="18"/>
        </w:rPr>
        <w:t>https://www.omneky.com/mcp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243043"/>
          <w:sz w:val="18"/>
        </w:rPr>
        <w:t>Creatify AI Media Buyer：</w:t>
      </w:r>
      <w:r>
        <w:rPr>
          <w:rFonts w:ascii="Noto Sans CJK SC" w:hAnsi="Noto Sans CJK SC" w:eastAsia="Noto Sans CJK SC"/>
          <w:b w:val="0"/>
          <w:color w:val="3157D5"/>
          <w:sz w:val="18"/>
        </w:rPr>
        <w:t>https://creatify.ai/features/media-buyer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243043"/>
          <w:sz w:val="18"/>
        </w:rPr>
        <w:t>Hermoso：</w:t>
      </w:r>
      <w:r>
        <w:rPr>
          <w:rFonts w:ascii="Noto Sans CJK SC" w:hAnsi="Noto Sans CJK SC" w:eastAsia="Noto Sans CJK SC"/>
          <w:b w:val="0"/>
          <w:color w:val="3157D5"/>
          <w:sz w:val="18"/>
        </w:rPr>
        <w:t>https://hermoso.ai/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243043"/>
          <w:sz w:val="18"/>
        </w:rPr>
        <w:t>Adanamous：</w:t>
      </w:r>
      <w:r>
        <w:rPr>
          <w:rFonts w:ascii="Noto Sans CJK SC" w:hAnsi="Noto Sans CJK SC" w:eastAsia="Noto Sans CJK SC"/>
          <w:b w:val="0"/>
          <w:color w:val="3157D5"/>
          <w:sz w:val="18"/>
        </w:rPr>
        <w:t>https://adanamous.com/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243043"/>
          <w:sz w:val="18"/>
        </w:rPr>
        <w:t>Predis.ai Auto Post：</w:t>
      </w:r>
      <w:r>
        <w:rPr>
          <w:rFonts w:ascii="Noto Sans CJK SC" w:hAnsi="Noto Sans CJK SC" w:eastAsia="Noto Sans CJK SC"/>
          <w:b w:val="0"/>
          <w:color w:val="3157D5"/>
          <w:sz w:val="18"/>
        </w:rPr>
        <w:t>https://predis.ai/auto-post/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87386"/>
        <w:sz w:val="16"/>
      </w:rPr>
      <w:t>内部讨论稿 · 2026-08-29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87386"/>
        <w:sz w:val="17"/>
      </w:rPr>
      <w:t>灵枢 Global Growth OS · 产品研究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2430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7D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A4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61" w:hanging="245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