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보컬조합 권리관리 및 정산</w:t>
        <w:br/>
        <w:t>인프라 구조 설계</w:t>
      </w:r>
    </w:p>
    <w:p>
      <w:pPr>
        <w:pStyle w:val="Subtitle"/>
      </w:pPr>
      <w:r>
        <w:t>Stem-to-Work 그래프와 정산 DSL</w:t>
      </w:r>
    </w:p>
    <w:p>
      <w:r>
        <w:t>베이스라인 1.0   |   2026년 9월 27일</w:t>
      </w:r>
    </w:p>
    <w:p>
      <w:pPr>
        <w:pStyle w:val="Heading1"/>
      </w:pPr>
      <w:r>
        <w:t>1 설계 목적</w:t>
      </w:r>
    </w:p>
    <w:p>
      <w:pPr>
        <w:pStyle w:val="ListBullet"/>
      </w:pPr>
      <w:r>
        <w:t>보컬 스템의 조합 생성부터 결과물 발행·유통·이용·수익 귀속까지 연결하는 권리관리 및 정산 구조 정의.</w:t>
      </w:r>
    </w:p>
    <w:p>
      <w:pPr>
        <w:pStyle w:val="ListBullet"/>
      </w:pPr>
      <w:r>
        <w:t>다중 스템·다중 참여자·다중 채널의 권리 관계를 타입이 지정된 그래프로 표현.</w:t>
      </w:r>
    </w:p>
    <w:p>
      <w:pPr>
        <w:pStyle w:val="ListBullet"/>
      </w:pPr>
      <w:r>
        <w:t>승인된 계약 조건을 정산 DSL로 표현하고 동일 입력·동일 버전에서 동일 금액 산출.</w:t>
      </w:r>
    </w:p>
    <w:p>
      <w:pPr>
        <w:pStyle w:val="ListBullet"/>
      </w:pPr>
      <w:r>
        <w:t>모든 귀속액을 사용 스템·권리·계약·정책·원거래까지 역추적할 수 있는 구조 제공.</w:t>
      </w:r>
    </w:p>
    <w:p>
      <w:pPr>
        <w:pStyle w:val="Heading1"/>
      </w:pPr>
      <w:r>
        <w:t>2 시스템 범위</w:t>
      </w:r>
    </w:p>
    <w:p>
      <w:pPr>
        <w:pStyle w:val="ListBullet"/>
      </w:pPr>
      <w:r>
        <w:t>관리 대상: 악곡, 녹음, 실연, 스템, 사용 구간, 조합 명세, 결과 녹음, 유통 단위.</w:t>
      </w:r>
    </w:p>
    <w:p>
      <w:pPr>
        <w:pStyle w:val="ListBullet"/>
      </w:pPr>
      <w:r>
        <w:t>권리 대상: 악곡 권리, 마스터 권리, 실연 관련 권리, 목소리·브랜드 이용 동의, 계약상 수익권.</w:t>
      </w:r>
    </w:p>
    <w:p>
      <w:pPr>
        <w:pStyle w:val="ListBullet"/>
      </w:pPr>
      <w:r>
        <w:t>이용 대상: 조합·프리뷰·소장·재생·공유·다운로드·외부 유통·상업적 이용.</w:t>
      </w:r>
    </w:p>
    <w:p>
      <w:pPr>
        <w:pStyle w:val="ListBullet"/>
      </w:pPr>
      <w:r>
        <w:t>정산 대상: 직접 매출, 유통사 정산 보고, 광고·구독 배정액, 계약상 사용료 및 조정액.</w:t>
      </w:r>
    </w:p>
    <w:p>
      <w:pPr>
        <w:pStyle w:val="ListBullet"/>
      </w:pPr>
      <w:r>
        <w:t>처리 단계: 이용 가능성 판정 → 발행 스냅샷 → 수익 문맥 확정 → 자동 계산 → 귀속 원장 → 지급.</w:t>
      </w:r>
    </w:p>
    <w:p>
      <w:pPr>
        <w:pStyle w:val="Heading1"/>
      </w:pPr>
      <w:r>
        <w:t>3 핵심 설계 원칙</w:t>
      </w:r>
    </w:p>
    <w:p>
      <w:pPr>
        <w:pStyle w:val="ListBullet"/>
      </w:pPr>
      <w:r>
        <w:t>권리 사실·이용허락·수익 배분·지급 경로 분리.</w:t>
      </w:r>
    </w:p>
    <w:p>
      <w:pPr>
        <w:pStyle w:val="ListBullet"/>
      </w:pPr>
      <w:r>
        <w:t>조합 결과물 생성과 법적 권리 성립 구분. 팬의 조합 참여만으로 악곡 또는 마스터 지분 자동 생성 금지.</w:t>
      </w:r>
    </w:p>
    <w:p>
      <w:pPr>
        <w:pStyle w:val="ListBullet"/>
      </w:pPr>
      <w:r>
        <w:t>확정된 과거 기록은 불변 유지. 변경·정정은 새 버전과 추가 원장으로 기록.</w:t>
      </w:r>
    </w:p>
    <w:p>
      <w:pPr>
        <w:pStyle w:val="ListBullet"/>
      </w:pPr>
      <w:r>
        <w:t>실시간 예상 배분과 증빙 대사 후 확정 정산·지급 구분.</w:t>
      </w:r>
    </w:p>
    <w:p>
      <w:pPr>
        <w:pStyle w:val="ListBullet"/>
      </w:pPr>
      <w:r>
        <w:t>부분적으로 확인된 지분을 임의 정규화하여 다른 권리자에게 재분배하지 않음.</w:t>
      </w:r>
    </w:p>
    <w:p>
      <w:pPr>
        <w:pStyle w:val="Heading1"/>
        <w:pageBreakBefore/>
      </w:pPr>
      <w:r>
        <w:t>4 참여 주체와 권리 역할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4649"/>
        <w:gridCol w:w="3118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주체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권리 및 책임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그래프 역할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작사자·작곡가·편곡자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확인된 악곡 권리와 변형 허락·악곡 수익 귀속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WORK_OWNER / WORK_CREATOR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음반제작자·레이블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원천·결과 녹음의 마스터 귀속 및 이용허락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MASTER_OWNER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보컬·코러스·세션 실연자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실연 출처·이용 동의·계약상 보상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PERFORMER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기획사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위임받은 브랜드·이용 승인 또는 수령 업무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AGENCY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AI 음성 제공자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승인된 모델·목소리 이용 범위 및 계약 대가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AI_PROVIDER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녹음 참여자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제작·엔지니어링 크레딧 및 약정된 수익 참여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RECORDING_CONTRIBUTOR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팬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조합 생성·허락된 이용·약정된 참여 보상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FAN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플랫폼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권리 정합 검증·정책 실행·원장 및 지급 운영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PLATFORM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유통사·채널 사업자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승인된 결과물 유통·이용 및 매출 보고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DISTRIBUTOR / CHANNEL</w:t>
            </w:r>
          </w:p>
        </w:tc>
      </w:tr>
    </w:tbl>
    <w:p>
      <w:pPr>
        <w:spacing w:after="0"/>
      </w:pPr>
    </w:p>
    <w:p>
      <w:pPr>
        <w:pStyle w:val="ListBullet"/>
      </w:pPr>
      <w:r>
        <w:t>Party는 개인·법인의 식별 단위. Role은 자산·계약 문맥별 역할로 다중 부여.</w:t>
      </w:r>
    </w:p>
    <w:p>
      <w:pPr>
        <w:pStyle w:val="ListBullet"/>
      </w:pPr>
      <w:r>
        <w:t>Tenant는 업무와 데이터 접근 경계. Party의 권리 지분이나 지급액을 Tenant에 귀속하지 않음.</w:t>
      </w:r>
    </w:p>
    <w:p>
      <w:pPr>
        <w:pStyle w:val="ListBullet"/>
      </w:pPr>
      <w:r>
        <w:t>크레딧만 있는 참여자와 계약상 수익권이 있는 참여자 구분. 동일인의 작곡·실연·제작 수익은 역할별 라인 유지.</w:t>
      </w:r>
    </w:p>
    <w:p>
      <w:pPr>
        <w:pStyle w:val="ListBullet"/>
      </w:pPr>
      <w:r>
        <w:t>기획사의 소속 관계와 허락·수령 위임 구분. 본인 권리 또는 유효한 위임 범위 안에서만 실행.</w:t>
      </w:r>
    </w:p>
    <w:p>
      <w:pPr>
        <w:pStyle w:val="Heading1"/>
      </w:pPr>
      <w:r>
        <w:t>5 보컬조합 권리 모델</w:t>
      </w:r>
    </w:p>
    <w:p>
      <w:pPr>
        <w:pStyle w:val="ListBullet"/>
      </w:pPr>
      <w:r>
        <w:t>권리 좌표: 대상 자산 × 권리 종류 × 이용 행위 × 지역 × 매체·채널 × 유효 기간 × 주체.</w:t>
      </w:r>
    </w:p>
    <w:p>
      <w:pPr>
        <w:pStyle w:val="ListBullet"/>
      </w:pPr>
      <w:r>
        <w:t>악곡 지분: 보컬 선택과 무관하게 승인된 악곡 지분 유지.</w:t>
      </w:r>
    </w:p>
    <w:p>
      <w:pPr>
        <w:pStyle w:val="ListBullet"/>
      </w:pPr>
      <w:r>
        <w:t>마스터 지분: 원곡 녹음과 신규 재녹음·결과 녹음별 귀속 분리.</w:t>
      </w:r>
    </w:p>
    <w:p>
      <w:pPr>
        <w:pStyle w:val="ListBullet"/>
      </w:pPr>
      <w:r>
        <w:t>실연 보상: 승인된 계약 풀에서 고정·사용량·혼합·팬 지정 방식 적용.</w:t>
      </w:r>
    </w:p>
    <w:p>
      <w:pPr>
        <w:pStyle w:val="ListBullet"/>
      </w:pPr>
      <w:r>
        <w:t>팬 보상: 권리자 로열티와 별도 예산·지급 자격 관리.</w:t>
      </w:r>
    </w:p>
    <w:p>
      <w:pPr>
        <w:pStyle w:val="ListBullet"/>
      </w:pPr>
      <w:r>
        <w:t>동의 범위: L0 원본 권리 이미지 → L1 팩 → 발행 조합 순으로 상위 범위 이내에서 제한.</w:t>
      </w:r>
    </w:p>
    <w:p>
      <w:pPr>
        <w:pStyle w:val="Heading1"/>
        <w:pageBreakBefore/>
      </w:pPr>
      <w:r>
        <w:t>6 전체 아키텍처</w:t>
      </w:r>
    </w:p>
    <w:p>
      <w:pPr>
        <w:pStyle w:val="Heading2"/>
      </w:pPr>
      <w:r>
        <w:t>6.1 처리 계층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3515"/>
        <w:gridCol w:w="4989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계층</w:t>
            </w:r>
          </w:p>
        </w:tc>
        <w:tc>
          <w:tcPr>
            <w:tcW w:type="dxa" w:w="351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구성 요소</w:t>
            </w:r>
          </w:p>
        </w:tc>
        <w:tc>
          <w:tcPr>
            <w:tcW w:type="dxa" w:w="498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책임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등록</w:t>
            </w:r>
          </w:p>
        </w:tc>
        <w:tc>
          <w:tcPr>
            <w:tcW w:type="dxa" w:w="351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카탈로그·계약 증빙 저장소</w:t>
            </w:r>
          </w:p>
        </w:tc>
        <w:tc>
          <w:tcPr>
            <w:tcW w:type="dxa" w:w="498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악곡·녹음·스템·실연·주체·서명·위임 등록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권리</w:t>
            </w:r>
          </w:p>
        </w:tc>
        <w:tc>
          <w:tcPr>
            <w:tcW w:type="dxa" w:w="351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권리 그래프·범위 해석기</w:t>
            </w:r>
          </w:p>
        </w:tc>
        <w:tc>
          <w:tcPr>
            <w:tcW w:type="dxa" w:w="498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권리 주장·허락·기간·지역·매체 관계 구성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정책</w:t>
            </w:r>
          </w:p>
        </w:tc>
        <w:tc>
          <w:tcPr>
            <w:tcW w:type="dxa" w:w="351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DSL 편집기·컴파일러·레지스트리</w:t>
            </w:r>
          </w:p>
        </w:tc>
        <w:tc>
          <w:tcPr>
            <w:tcW w:type="dxa" w:w="498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규칙 정적 검증·실행 계획 생성·버전 고정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조합</w:t>
            </w:r>
          </w:p>
        </w:tc>
        <w:tc>
          <w:tcPr>
            <w:tcW w:type="dxa" w:w="351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Manifest·게이트·발행 서비스</w:t>
            </w:r>
          </w:p>
        </w:tc>
        <w:tc>
          <w:tcPr>
            <w:tcW w:type="dxa" w:w="498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사용 구간 검증·허락 판정·스냅샷 생성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유통</w:t>
            </w:r>
          </w:p>
        </w:tc>
        <w:tc>
          <w:tcPr>
            <w:tcW w:type="dxa" w:w="351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렌더·Release·채널 어댑터</w:t>
            </w:r>
          </w:p>
        </w:tc>
        <w:tc>
          <w:tcPr>
            <w:tcW w:type="dxa" w:w="498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결과 녹음 생성·채널별 배포 상태 관리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정산</w:t>
            </w:r>
          </w:p>
        </w:tc>
        <w:tc>
          <w:tcPr>
            <w:tcW w:type="dxa" w:w="351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보고 수집·대사·계산 엔진</w:t>
            </w:r>
          </w:p>
        </w:tc>
        <w:tc>
          <w:tcPr>
            <w:tcW w:type="dxa" w:w="498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기준액·기여 벡터·버킷·귀속액 산출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원장</w:t>
            </w:r>
          </w:p>
        </w:tc>
        <w:tc>
          <w:tcPr>
            <w:tcW w:type="dxa" w:w="351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귀속·보류·조정·지급 원장</w:t>
            </w:r>
          </w:p>
        </w:tc>
        <w:tc>
          <w:tcPr>
            <w:tcW w:type="dxa" w:w="498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금액 보존·정정·지급 상태 분리</w:t>
            </w:r>
          </w:p>
        </w:tc>
      </w:tr>
    </w:tbl>
    <w:p>
      <w:pPr>
        <w:spacing w:after="0"/>
      </w:pPr>
    </w:p>
    <w:p>
      <w:pPr>
        <w:pStyle w:val="Heading2"/>
      </w:pPr>
      <w:r>
        <w:t>6.2 처리 흐름</w:t>
      </w:r>
    </w:p>
    <w:p>
      <w:pPr>
        <w:pStyle w:val="ListBullet"/>
      </w:pPr>
      <w:r>
        <w:t>권리자 등록 → 계약·증빙 확인 → 자산 및 권리 그래프 활성화.</w:t>
      </w:r>
    </w:p>
    <w:p>
      <w:pPr>
        <w:pStyle w:val="ListBullet"/>
      </w:pPr>
      <w:r>
        <w:t>팬 조합 명세 → 요구 권리 도출 → 이용허락 판정 → 승인 → 발행 스냅샷.</w:t>
      </w:r>
    </w:p>
    <w:p>
      <w:pPr>
        <w:pStyle w:val="ListBullet"/>
      </w:pPr>
      <w:r>
        <w:t>발행 조합 → 결과 녹음 → 채널별 Release → 이용·매출 이벤트.</w:t>
      </w:r>
    </w:p>
    <w:p>
      <w:pPr>
        <w:pStyle w:val="ListBullet"/>
      </w:pPr>
      <w:r>
        <w:t>이벤트 정규화 → 자산 매칭·금액 대사 → 정산 문맥 동결 → DSL 실행 → 귀속·보류 → 지급.</w:t>
      </w:r>
    </w:p>
    <w:p>
      <w:pPr>
        <w:pStyle w:val="Heading2"/>
      </w:pPr>
      <w:r>
        <w:t>6.3 저장 및 실행 경계</w:t>
      </w:r>
    </w:p>
    <w:p>
      <w:pPr>
        <w:pStyle w:val="ListBullet"/>
      </w:pPr>
      <w:r>
        <w:t>관계형 DB: 카탈로그·권리·계약·정책·확정 원장의 원본 저장소.</w:t>
      </w:r>
    </w:p>
    <w:p>
      <w:pPr>
        <w:pStyle w:val="ListBullet"/>
      </w:pPr>
      <w:r>
        <w:t>그래프 투영: 원본 관계를 노드·엣지로 구성한 읽기 및 계산 모델. 원본에서 재생성 가능.</w:t>
      </w:r>
    </w:p>
    <w:p>
      <w:pPr>
        <w:pStyle w:val="ListBullet"/>
      </w:pPr>
      <w:r>
        <w:t>오브젝트 저장소: 계약서·원본 보고서·오디오·불변 명세 저장.</w:t>
      </w:r>
    </w:p>
    <w:p>
      <w:pPr>
        <w:pStyle w:val="ListBullet"/>
      </w:pPr>
      <w:r>
        <w:t>작업 큐와 트랜잭션 Outbox: 렌더·외부 전송·정산 작업의 재시도와 변경 전파.</w:t>
      </w:r>
    </w:p>
    <w:p>
      <w:pPr>
        <w:pStyle w:val="ListBullet"/>
      </w:pPr>
      <w:r>
        <w:t>권리 게이트: 허용 여부와 의무만 반환. 정산 엔진: 금액과 근거만 산출. 지급 엔진: 승인된 지급 지시 실행.</w:t>
      </w:r>
    </w:p>
    <w:p>
      <w:pPr>
        <w:pStyle w:val="ListBullet"/>
      </w:pPr>
      <w:r>
        <w:t>권리·정산 계획 캐시와 불변 실행 증빙 분리. 캐시 삭제로 과거 계산 근거가 손실되지 않도록 구성.</w:t>
      </w:r>
    </w:p>
    <w:p>
      <w:pPr>
        <w:pStyle w:val="Heading1"/>
        <w:pageBreakBefore/>
      </w:pPr>
      <w:r>
        <w:t>7 Stem-to-Work 그래프 데이터 구조</w:t>
      </w:r>
    </w:p>
    <w:p>
      <w:pPr>
        <w:pStyle w:val="Heading2"/>
      </w:pPr>
      <w:r>
        <w:t>7.1 그래프 영역과 연결</w:t>
      </w:r>
    </w:p>
    <w:p>
      <w:r>
        <w:drawing>
          <wp:inline xmlns:a="http://schemas.openxmlformats.org/drawingml/2006/main" xmlns:pic="http://schemas.openxmlformats.org/drawingml/2006/picture">
            <wp:extent cx="6156000" cy="29625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962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출처 영역: 악곡 → 녹음 → 스템 → 실제 사용 구간 → 조합 → 결과 녹음 → 유통 단위.</w:t>
      </w:r>
    </w:p>
    <w:p>
      <w:pPr>
        <w:pStyle w:val="ListBullet"/>
      </w:pPr>
      <w:r>
        <w:t>권리 영역: 자산·실연 → 권리 주장 → 권리 주체 → 증빙 및 범위별 위임.</w:t>
      </w:r>
    </w:p>
    <w:p>
      <w:pPr>
        <w:pStyle w:val="ListBullet"/>
      </w:pPr>
      <w:r>
        <w:t>허락 영역: 권리 요구사항 → 충족 허락 → 기간·지역·매체·의무.</w:t>
      </w:r>
    </w:p>
    <w:p>
      <w:pPr>
        <w:pStyle w:val="ListBullet"/>
      </w:pPr>
      <w:r>
        <w:t>경제 영역: 수익 이벤트 → 정책·실행 문맥 → 수익권 → 귀속액 → 지급 경로.</w:t>
      </w:r>
    </w:p>
    <w:p>
      <w:pPr>
        <w:pStyle w:val="ListBullet"/>
      </w:pPr>
      <w:r>
        <w:t>위 도식은 주요 연결의 개요. 각 관계의 정확한 방향·의미·카디널리티는 엣지 명세로 고정.</w:t>
      </w:r>
    </w:p>
    <w:p>
      <w:pPr>
        <w:pStyle w:val="Heading2"/>
      </w:pPr>
      <w:r>
        <w:t>7.2 그래프 저장 단위</w:t>
      </w:r>
    </w:p>
    <w:p>
      <w:pPr>
        <w:spacing w:after="0" w:line="240" w:lineRule="auto"/>
      </w:pPr>
      <w:r>
        <w:rPr>
          <w:rFonts w:ascii="Menlo" w:hAnsi="Menlo"/>
          <w:sz w:val="17"/>
        </w:rPr>
        <w:t>Node {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tenant_id, node_id, node_type, object_id, object_version,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valid_from, valid_to, recorded_at, superseded_at</w:t>
      </w:r>
    </w:p>
    <w:p>
      <w:pPr>
        <w:spacing w:after="0" w:line="240" w:lineRule="auto"/>
      </w:pPr>
      <w:r>
        <w:rPr>
          <w:rFonts w:ascii="Menlo" w:hAnsi="Menlo"/>
          <w:sz w:val="17"/>
        </w:rPr>
        <w:t>}</w:t>
      </w:r>
    </w:p>
    <w:p>
      <w:pPr>
        <w:spacing w:after="0" w:line="240" w:lineRule="auto"/>
      </w:pPr>
      <w:r>
        <w:rPr>
          <w:rFonts w:ascii="Menlo" w:hAnsi="Menlo"/>
          <w:sz w:val="17"/>
        </w:rPr>
        <w:t>Edge {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tenant_id, edge_id, edge_type, from_node_id, to_node_id,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scope_id?, weight_kind?, weight_value?, evidence_id?,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valid_from, valid_to, recorded_at, superseded_at</w:t>
      </w:r>
    </w:p>
    <w:p>
      <w:pPr>
        <w:spacing w:after="0" w:line="240" w:lineRule="auto"/>
      </w:pPr>
      <w:r>
        <w:rPr>
          <w:rFonts w:ascii="Menlo" w:hAnsi="Menlo"/>
          <w:sz w:val="17"/>
        </w:rPr>
        <w:t>}</w:t>
      </w:r>
    </w:p>
    <w:p>
      <w:pPr>
        <w:pStyle w:val="ListBullet"/>
      </w:pPr>
      <w:r>
        <w:t>공통 식별자: node_id·edge_id는 전역 유일. tenant_id로 접근 경계 강제.</w:t>
      </w:r>
    </w:p>
    <w:p>
      <w:pPr>
        <w:pStyle w:val="ListBullet"/>
      </w:pPr>
      <w:r>
        <w:t>유효 기간: valid_from 포함·valid_to 미포함의 반개구간 적용. 종료 없는 기간은 명시적 무기한 값 사용.</w:t>
      </w:r>
    </w:p>
    <w:p>
      <w:pPr>
        <w:pStyle w:val="ListBullet"/>
      </w:pPr>
      <w:r>
        <w:t>기록 기간: 시스템이 당시 알고 있던 버전을 recorded_at·superseded_at으로 조회.</w:t>
      </w:r>
    </w:p>
    <w:p>
      <w:pPr>
        <w:pStyle w:val="ListBullet"/>
      </w:pPr>
      <w:r>
        <w:t>가중치 종류: OWNERSHIP_SHARE·CONTRACT_RATIO·USAGE_WEIGHT 분리. 구조·출처 엣지에는 비율 미부여.</w:t>
      </w:r>
    </w:p>
    <w:p>
      <w:pPr>
        <w:pStyle w:val="Heading2"/>
        <w:pageBreakBefore/>
      </w:pPr>
      <w:r>
        <w:t>7.3 노드 명세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4025"/>
        <w:gridCol w:w="3572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노드</w:t>
            </w:r>
          </w:p>
        </w:tc>
        <w:tc>
          <w:tcPr>
            <w:tcW w:type="dxa" w:w="402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주요 필드</w:t>
            </w:r>
          </w:p>
        </w:tc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역할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WORK</w:t>
            </w:r>
          </w:p>
        </w:tc>
        <w:tc>
          <w:tcPr>
            <w:tcW w:type="dxa" w:w="402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work_id, credits, external_ids</w:t>
            </w:r>
          </w:p>
        </w:tc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악곡과 가사 식별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RECORDING</w:t>
            </w:r>
          </w:p>
        </w:tc>
        <w:tc>
          <w:tcPr>
            <w:tcW w:type="dxa" w:w="402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recording_id, version, source_type</w:t>
            </w:r>
          </w:p>
        </w:tc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원곡·재녹음·결과 녹음 구분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STEM</w:t>
            </w:r>
          </w:p>
        </w:tc>
        <w:tc>
          <w:tcPr>
            <w:tcW w:type="dxa" w:w="402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stem_id, version, file_hash, duration_ms</w:t>
            </w:r>
          </w:p>
        </w:tc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오디오 파일의 불변 버전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402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performance_id, session_id, role</w:t>
            </w:r>
          </w:p>
        </w:tc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인간 실연과 참여 구간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VOICE_ASSET</w:t>
            </w:r>
          </w:p>
        </w:tc>
        <w:tc>
          <w:tcPr>
            <w:tcW w:type="dxa" w:w="402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voice_id, source_kind, consent_ids</w:t>
            </w:r>
          </w:p>
        </w:tc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목소리·모델 식별과 동의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STEM_USE</w:t>
            </w:r>
          </w:p>
        </w:tc>
        <w:tc>
          <w:tcPr>
            <w:tcW w:type="dxa" w:w="402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use_id, source_range, target_range, layer</w:t>
            </w:r>
          </w:p>
        </w:tc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결과 타임라인의 사용 인스턴스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COMBINATION</w:t>
            </w:r>
          </w:p>
        </w:tc>
        <w:tc>
          <w:tcPr>
            <w:tcW w:type="dxa" w:w="402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combination_id, manifest_hash</w:t>
            </w:r>
          </w:p>
        </w:tc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팬 조합과 불변 구성 명세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RELEASE</w:t>
            </w:r>
          </w:p>
        </w:tc>
        <w:tc>
          <w:tcPr>
            <w:tcW w:type="dxa" w:w="402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release_id, channel_id, status</w:t>
            </w:r>
          </w:p>
        </w:tc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채널별 유통 객체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PARTY</w:t>
            </w:r>
          </w:p>
        </w:tc>
        <w:tc>
          <w:tcPr>
            <w:tcW w:type="dxa" w:w="402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party_id, party_type, verification_status</w:t>
            </w:r>
          </w:p>
        </w:tc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권리·계약·수익의 주체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RIGHT_CLAIM</w:t>
            </w:r>
          </w:p>
        </w:tc>
        <w:tc>
          <w:tcPr>
            <w:tcW w:type="dxa" w:w="402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claim_id, right_type, share_basis, share</w:t>
            </w:r>
          </w:p>
        </w:tc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특정 범위의 권리 주장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LICENSE_GRANT</w:t>
            </w:r>
          </w:p>
        </w:tc>
        <w:tc>
          <w:tcPr>
            <w:tcW w:type="dxa" w:w="402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grant_id, licensor_id, scope_id</w:t>
            </w:r>
          </w:p>
        </w:tc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대상·행위·매체별 이용허락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CONSENT</w:t>
            </w:r>
          </w:p>
        </w:tc>
        <w:tc>
          <w:tcPr>
            <w:tcW w:type="dxa" w:w="402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consent_id, signer_id, subject, scope</w:t>
            </w:r>
          </w:p>
        </w:tc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본인 동의 및 서명 증빙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MANDATE</w:t>
            </w:r>
          </w:p>
        </w:tc>
        <w:tc>
          <w:tcPr>
            <w:tcW w:type="dxa" w:w="402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mandate_id, principal, agent, powers</w:t>
            </w:r>
          </w:p>
        </w:tc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허락·징수·수령 위임 구분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ENTITLEMENT</w:t>
            </w:r>
          </w:p>
        </w:tc>
        <w:tc>
          <w:tcPr>
            <w:tcW w:type="dxa" w:w="402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entitlement_id, earning_type, basis</w:t>
            </w:r>
          </w:p>
        </w:tc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계약상 수익 귀속 자격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POLICY_VERSION</w:t>
            </w:r>
          </w:p>
        </w:tc>
        <w:tc>
          <w:tcPr>
            <w:tcW w:type="dxa" w:w="402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policy_id, version, digest</w:t>
            </w:r>
          </w:p>
        </w:tc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불변 정산 정책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REVENUE_EVENT</w:t>
            </w:r>
          </w:p>
        </w:tc>
        <w:tc>
          <w:tcPr>
            <w:tcW w:type="dxa" w:w="402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event_id, source, period, currency</w:t>
            </w:r>
          </w:p>
        </w:tc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수익 또는 조정의 원천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SETTLEMENT_CONTEXT</w:t>
            </w:r>
          </w:p>
        </w:tc>
        <w:tc>
          <w:tcPr>
            <w:tcW w:type="dxa" w:w="402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context_id, input_digest, versions</w:t>
            </w:r>
          </w:p>
        </w:tc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정산 실행 입력의 동결 단위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EVIDENCE</w:t>
            </w:r>
          </w:p>
        </w:tc>
        <w:tc>
          <w:tcPr>
            <w:tcW w:type="dxa" w:w="402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evidence_id, document_hash, clause_ref</w:t>
            </w:r>
          </w:p>
        </w:tc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권리·계약·승인의 근거</w:t>
            </w:r>
          </w:p>
        </w:tc>
      </w:tr>
    </w:tbl>
    <w:p>
      <w:pPr>
        <w:spacing w:after="0"/>
      </w:pPr>
    </w:p>
    <w:p>
      <w:pPr>
        <w:pStyle w:val="ListBullet"/>
      </w:pPr>
      <w:r>
        <w:t>결과 녹음은 RECORDING의 source_type=COMBINATION_RENDER로 표현. 조합 ID와 녹음 ID 분리.</w:t>
      </w:r>
    </w:p>
    <w:p>
      <w:pPr>
        <w:pStyle w:val="ListBullet"/>
      </w:pPr>
      <w:r>
        <w:t>RIGHT_CLAIM 상태: ASSERTED·VERIFIED·DISPUTED·SUPERSEDED. 확인 상태와 권리 효력 기간을 별도로 관리.</w:t>
      </w:r>
    </w:p>
    <w:p>
      <w:pPr>
        <w:pStyle w:val="ListBullet"/>
      </w:pPr>
      <w:r>
        <w:t>실연자의 크레딧과 계약상 배분 자격을 별도 연결. 고정 실연료만 약정된 경우에도 출처·허락 관계 유지.</w:t>
      </w:r>
    </w:p>
    <w:p>
      <w:pPr>
        <w:pStyle w:val="Heading2"/>
        <w:pageBreakBefore/>
      </w:pPr>
      <w:r>
        <w:t>7.4 엣지 명세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72"/>
        <w:gridCol w:w="850"/>
        <w:gridCol w:w="5329"/>
      </w:tblGrid>
      <w:tr>
        <w:trPr>
          <w:cantSplit/>
          <w:tblHeader/>
        </w:trPr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엣지와 방향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관계</w:t>
            </w:r>
          </w:p>
        </w:tc>
        <w:tc>
          <w:tcPr>
            <w:tcW w:type="dxa" w:w="532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핵심 속성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RECORDING → WORK</w:t>
              <w:br/>
              <w:t>EMBODIES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N:M</w:t>
            </w:r>
          </w:p>
        </w:tc>
        <w:tc>
          <w:tcPr>
            <w:tcW w:type="dxa" w:w="532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복수 악곡·편곡 관계와 근거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STEM → RECORDING</w:t>
              <w:br/>
              <w:t>EXTRACTED_FROM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N:1</w:t>
            </w:r>
          </w:p>
        </w:tc>
        <w:tc>
          <w:tcPr>
            <w:tcW w:type="dxa" w:w="532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원천 녹음 버전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STEM → PERFORMANCE</w:t>
              <w:br/>
              <w:t>CAPTURES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N:M</w:t>
            </w:r>
          </w:p>
        </w:tc>
        <w:tc>
          <w:tcPr>
            <w:tcW w:type="dxa" w:w="532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실연 구간·크레딧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PERFORMANCE → PARTY</w:t>
              <w:br/>
              <w:t>PERFORMED_BY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N:M</w:t>
            </w:r>
          </w:p>
        </w:tc>
        <w:tc>
          <w:tcPr>
            <w:tcW w:type="dxa" w:w="532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주·부실연 역할·내부 기여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STEM_USE → STEM</w:t>
              <w:br/>
              <w:t>USES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N:1</w:t>
            </w:r>
          </w:p>
        </w:tc>
        <w:tc>
          <w:tcPr>
            <w:tcW w:type="dxa" w:w="532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파일 버전·원천 구간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COMBINATION → STEM_USE</w:t>
              <w:br/>
              <w:t>CONTAINS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1:N</w:t>
            </w:r>
          </w:p>
        </w:tc>
        <w:tc>
          <w:tcPr>
            <w:tcW w:type="dxa" w:w="532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순서·레이어·결과 구간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RECORDING → COMBINATION</w:t>
              <w:br/>
              <w:t>RENDERED_FROM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N:1</w:t>
            </w:r>
          </w:p>
        </w:tc>
        <w:tc>
          <w:tcPr>
            <w:tcW w:type="dxa" w:w="532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렌더 엔진·설정·해시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RELEASE → RECORDING</w:t>
              <w:br/>
              <w:t>DELIVERS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N:M</w:t>
            </w:r>
          </w:p>
        </w:tc>
        <w:tc>
          <w:tcPr>
            <w:tcW w:type="dxa" w:w="532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트랙 순서·채널 ID</w:t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7.4 엣지 명세 — 권리·정산 관계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72"/>
        <w:gridCol w:w="850"/>
        <w:gridCol w:w="5329"/>
      </w:tblGrid>
      <w:tr>
        <w:trPr>
          <w:cantSplit/>
          <w:tblHeader/>
        </w:trPr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엣지와 방향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관계</w:t>
            </w:r>
          </w:p>
        </w:tc>
        <w:tc>
          <w:tcPr>
            <w:tcW w:type="dxa" w:w="532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핵심 속성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RIGHT_CLAIM → 자산 또는 실연</w:t>
              <w:br/>
              <w:t>CLAIMS_ON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N:1</w:t>
            </w:r>
          </w:p>
        </w:tc>
        <w:tc>
          <w:tcPr>
            <w:tcW w:type="dxa" w:w="532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권리 종류·범위·지분 기준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RIGHT_CLAIM → PARTY</w:t>
              <w:br/>
              <w:t>HELD_BY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N:1</w:t>
            </w:r>
          </w:p>
        </w:tc>
        <w:tc>
          <w:tcPr>
            <w:tcW w:type="dxa" w:w="532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주장자와 확인 상태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LICENSE_GRANT → RIGHT_CLAIM</w:t>
              <w:br/>
              <w:t>COVERS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N:M</w:t>
            </w:r>
          </w:p>
        </w:tc>
        <w:tc>
          <w:tcPr>
            <w:tcW w:type="dxa" w:w="532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커버하는 범위·지분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MANDATE → PARTY</w:t>
              <w:br/>
              <w:t>PRINCIPAL / AGENT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각 N:1</w:t>
            </w:r>
          </w:p>
        </w:tc>
        <w:tc>
          <w:tcPr>
            <w:tcW w:type="dxa" w:w="532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위임 범위·권한·유효 기간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ENTITLEMENT → PARTY</w:t>
              <w:br/>
              <w:t>BENEFITS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N:1</w:t>
            </w:r>
          </w:p>
        </w:tc>
        <w:tc>
          <w:tcPr>
            <w:tcW w:type="dxa" w:w="532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수익 귀속자·역할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ENTITLEMENT → 계약 증빙</w:t>
              <w:br/>
              <w:t>ESTABLISHED_BY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N:1</w:t>
            </w:r>
          </w:p>
        </w:tc>
        <w:tc>
          <w:tcPr>
            <w:tcW w:type="dxa" w:w="532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수익 종류·공제·회수 조건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SETTLEMENT_CONTEXT → POLICY_VERSION</w:t>
              <w:br/>
              <w:t>EXECUTES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N:1</w:t>
            </w:r>
          </w:p>
        </w:tc>
        <w:tc>
          <w:tcPr>
            <w:tcW w:type="dxa" w:w="532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엔진·함수 버전·입력 digest</w:t>
            </w:r>
          </w:p>
        </w:tc>
      </w:tr>
    </w:tbl>
    <w:p>
      <w:pPr>
        <w:spacing w:after="0"/>
      </w:pPr>
    </w:p>
    <w:p>
      <w:pPr>
        <w:pStyle w:val="Heading2"/>
      </w:pPr>
      <w:r>
        <w:t>7.5 구조 불변조건</w:t>
      </w:r>
    </w:p>
    <w:p>
      <w:pPr>
        <w:pStyle w:val="ListBullet"/>
      </w:pPr>
      <w:r>
        <w:t>파생 출처·배분 의존성 투영에 순환 금지. 위임 경로의 순환도 지급 해석에서 차단.</w:t>
      </w:r>
    </w:p>
    <w:p>
      <w:pPr>
        <w:pStyle w:val="ListBullet"/>
      </w:pPr>
      <w:r>
        <w:t>소유 지분 합계는 동일 자산·권리·범위·기간·share_basis 단위로 검증. 출처·크레딧 엣지에 100% 합계 강제 금지.</w:t>
      </w:r>
    </w:p>
    <w:p>
      <w:pPr>
        <w:pStyle w:val="ListBullet"/>
      </w:pPr>
      <w:r>
        <w:t>동일 기여 항목의 중복 경로는 contribution_id로 제거. 다른 역할·다른 계약상 수익권은 유지.</w:t>
      </w:r>
    </w:p>
    <w:p>
      <w:pPr>
        <w:pStyle w:val="ListBullet"/>
      </w:pPr>
      <w:r>
        <w:t>허락 누락과 금전 수령자 미확인 구분. 전자는 이용 차단, 후자는 해당 금액 보류.</w:t>
      </w:r>
    </w:p>
    <w:p>
      <w:pPr>
        <w:pStyle w:val="ListBullet"/>
      </w:pPr>
      <w:r>
        <w:t>MR·FX의 실연 배분 제외 여부와 악곡·마스터 허락 필요 여부 분리.</w:t>
      </w:r>
    </w:p>
    <w:p>
      <w:pPr>
        <w:pStyle w:val="Heading2"/>
        <w:pageBreakBefore/>
      </w:pPr>
      <w:r>
        <w:t>7.6 조합 명세와 시점별 스냅샷</w:t>
      </w:r>
    </w:p>
    <w:p>
      <w:pPr>
        <w:spacing w:after="0" w:line="240" w:lineRule="auto"/>
      </w:pPr>
      <w:r>
        <w:rPr>
          <w:rFonts w:ascii="Menlo" w:hAnsi="Menlo"/>
          <w:sz w:val="17"/>
        </w:rPr>
        <w:t>CombinationManifest {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combination_id, manifest_version, pack_version,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stem_uses: [{use_id, stem_id, stem_version,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source_in_ms, source_out_ms,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target_in_ms, target_out_ms,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layer_id, repeat_index, transform_id, muted}],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mix_preset_version, render_engine_version, content_hash</w:t>
      </w:r>
    </w:p>
    <w:p>
      <w:pPr>
        <w:spacing w:after="0" w:line="240" w:lineRule="auto"/>
      </w:pPr>
      <w:r>
        <w:rPr>
          <w:rFonts w:ascii="Menlo" w:hAnsi="Menlo"/>
          <w:sz w:val="17"/>
        </w:rPr>
        <w:t>}</w:t>
      </w:r>
    </w:p>
    <w:p>
      <w:pPr>
        <w:pStyle w:val="ListBullet"/>
      </w:pPr>
      <w:r>
        <w:t>동일 스템의 반복 사용은 서로 다른 use_id로 기록. 원천 시간과 결과 시간 구분.</w:t>
      </w:r>
    </w:p>
    <w:p>
      <w:pPr>
        <w:pStyle w:val="ListBullet"/>
      </w:pPr>
      <w:r>
        <w:t>파일 교체·순서·구간·믹스·변형 변경 시 새 manifest_version과 content_hash 생성.</w:t>
      </w:r>
    </w:p>
    <w:p>
      <w:pPr>
        <w:pStyle w:val="ListBullet"/>
      </w:pPr>
      <w:r>
        <w:t>실제 렌더 결과와 manifest의 일치 여부를 확인한 후 결과 녹음 연결.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4025"/>
        <w:gridCol w:w="3628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스냅샷</w:t>
            </w:r>
          </w:p>
        </w:tc>
        <w:tc>
          <w:tcPr>
            <w:tcW w:type="dxa" w:w="402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고정 데이터</w:t>
            </w:r>
          </w:p>
        </w:tc>
        <w:tc>
          <w:tcPr>
            <w:tcW w:type="dxa" w:w="362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적용 규칙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발행 스냅샷</w:t>
            </w:r>
          </w:p>
        </w:tc>
        <w:tc>
          <w:tcPr>
            <w:tcW w:type="dxa" w:w="402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manifest·허락·승인·팬 약관·기본 정책</w:t>
            </w:r>
          </w:p>
        </w:tc>
        <w:tc>
          <w:tcPr>
            <w:tcW w:type="dxa" w:w="362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발행 당시 기록 보존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이용 판정 증빙</w:t>
            </w:r>
          </w:p>
        </w:tc>
        <w:tc>
          <w:tcPr>
            <w:tcW w:type="dxa" w:w="402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이용 문맥·선택 허락 경로·차단 버전</w:t>
            </w:r>
          </w:p>
        </w:tc>
        <w:tc>
          <w:tcPr>
            <w:tcW w:type="dxa" w:w="362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매 실행 시 현재 효력 판정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정산 실행 스냅샷</w:t>
            </w:r>
          </w:p>
        </w:tc>
        <w:tc>
          <w:tcPr>
            <w:tcW w:type="dxa" w:w="402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이용·수익 시점·계약·정책·그래프·엔진</w:t>
            </w:r>
          </w:p>
        </w:tc>
        <w:tc>
          <w:tcPr>
            <w:tcW w:type="dxa" w:w="362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계약상 적용 시점으로 계산</w:t>
            </w:r>
          </w:p>
        </w:tc>
      </w:tr>
    </w:tbl>
    <w:p>
      <w:pPr>
        <w:spacing w:after="0"/>
      </w:pPr>
    </w:p>
    <w:p>
      <w:pPr>
        <w:pStyle w:val="Heading2"/>
      </w:pPr>
      <w:r>
        <w:t>7.7 정산 문맥과 권리 해석</w:t>
      </w:r>
    </w:p>
    <w:p>
      <w:pPr>
        <w:spacing w:after="0" w:line="240" w:lineRule="auto"/>
      </w:pPr>
      <w:r>
        <w:rPr>
          <w:rFonts w:ascii="Menlo" w:hAnsi="Menlo"/>
          <w:sz w:val="17"/>
        </w:rPr>
        <w:t>SettlementContext {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context_id, issue_snapshot_id, revenue_group_id,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binding_time, economic_at, knowledge_at,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graph_version, policy_digest, engine_version,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channel, medium, use_type, territory, currency,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manifest_hash, input_digest, revocation_epoch</w:t>
      </w:r>
    </w:p>
    <w:p>
      <w:pPr>
        <w:spacing w:after="0" w:line="240" w:lineRule="auto"/>
      </w:pPr>
      <w:r>
        <w:rPr>
          <w:rFonts w:ascii="Menlo" w:hAnsi="Menlo"/>
          <w:sz w:val="17"/>
        </w:rPr>
        <w:t>}</w:t>
      </w:r>
    </w:p>
    <w:p>
      <w:pPr>
        <w:pStyle w:val="ListBullet"/>
      </w:pPr>
      <w:r>
        <w:t>binding_time: ISSUE_TIME·USAGE_TIME·SALE_TIME·REPORT_PERIOD 중 계약에 명시된 기준 적용.</w:t>
      </w:r>
    </w:p>
    <w:p>
      <w:pPr>
        <w:pStyle w:val="ListBullet"/>
      </w:pPr>
      <w:r>
        <w:t>발행 스냅샷으로 이후 만료·철회·권리 이전을 무시하지 않음. 수익 발생 시점의 유효 조건과 현재 확인된 증빙을 분리.</w:t>
      </w:r>
    </w:p>
    <w:p>
      <w:pPr>
        <w:pStyle w:val="ListBullet"/>
      </w:pPr>
      <w:r>
        <w:t>과거 정보 기준 재현은 knowledge_at을 과거로 고정. 정정 계산은 새 knowledge_at과 원 실행 ID를 연결.</w:t>
      </w:r>
    </w:p>
    <w:p>
      <w:pPr>
        <w:pStyle w:val="ListBullet"/>
      </w:pPr>
      <w:r>
        <w:t>보고기간 중 조건이 변경되고 세부 이용일이 없으면 승인된 기간 배정 규칙 적용. 규칙 부재 시 보류.</w:t>
      </w:r>
    </w:p>
    <w:p>
      <w:pPr>
        <w:pStyle w:val="Heading1"/>
        <w:pageBreakBefore/>
      </w:pPr>
      <w:r>
        <w:t>8 권리 게이트와 그래프 평가</w:t>
      </w:r>
    </w:p>
    <w:p>
      <w:pPr>
        <w:pStyle w:val="Heading2"/>
      </w:pPr>
      <w:r>
        <w:t>8.1 입력과 판정</w:t>
      </w:r>
    </w:p>
    <w:p>
      <w:pPr>
        <w:pStyle w:val="ListBullet"/>
      </w:pPr>
      <w:r>
        <w:t>입력: manifest 버전, 이용 행위, 지역, 매체·채널, 이용 시점, 사용자 자격, 계약 상태.</w:t>
      </w:r>
    </w:p>
    <w:p>
      <w:pPr>
        <w:pStyle w:val="ListBullet"/>
      </w:pPr>
      <w:r>
        <w:t>출력: PERMIT·PERMIT_WITH_OBLIGATION·DENY·REVIEW_REQUIRED, 사유 코드, 이행 의무, 근거 경로.</w:t>
      </w:r>
    </w:p>
    <w:p>
      <w:pPr>
        <w:pStyle w:val="ListBullet"/>
      </w:pPr>
      <w:r>
        <w:t>REVIEW_REQUIRED는 승인 완료 전 실행 불가. 판정 과정에서 금액 지급이나 이용 횟수 차감 금지.</w:t>
      </w:r>
    </w:p>
    <w:p>
      <w:pPr>
        <w:pStyle w:val="Heading2"/>
      </w:pPr>
      <w:r>
        <w:t>8.2 허락 커버리지 알고리즘</w:t>
      </w:r>
    </w:p>
    <w:p>
      <w:pPr>
        <w:pStyle w:val="ListBullet"/>
      </w:pPr>
      <w:r>
        <w:t>① manifest에서 모든 사용 스템·실연·원천 녹음·악곡 수집.</w:t>
      </w:r>
    </w:p>
    <w:p>
      <w:pPr>
        <w:pStyle w:val="ListBullet"/>
      </w:pPr>
      <w:r>
        <w:t>② 이용 문맥으로 Requirement(asset, right_type, scope) 집합 도출.</w:t>
      </w:r>
    </w:p>
    <w:p>
      <w:pPr>
        <w:pStyle w:val="ListBullet"/>
      </w:pPr>
      <w:r>
        <w:t>③ 각 요구사항에 대해 효력이 있는 주장·허락·동의·위임 경로 탐색.</w:t>
      </w:r>
    </w:p>
    <w:p>
      <w:pPr>
        <w:pStyle w:val="ListBullet"/>
      </w:pPr>
      <w:r>
        <w:t>④ 동일 요구사항을 대체 충족하는 허락은 OR로 평가. 서로 다른 필수 요구사항은 AND로 평가.</w:t>
      </w:r>
    </w:p>
    <w:p>
      <w:pPr>
        <w:pStyle w:val="ListBullet"/>
      </w:pPr>
      <w:r>
        <w:t>⑤ 공동권리의 필요한 지분과 대표권 커버리지 확인. 미확인 지분을 기계적으로 정규화하지 않음.</w:t>
      </w:r>
    </w:p>
    <w:p>
      <w:pPr>
        <w:pStyle w:val="ListBullet"/>
      </w:pPr>
      <w:r>
        <w:t>⑥ 선택 경로의 상위 허락·팩·조합 조건을 교집합으로 축소. 의무는 합집합으로 결합.</w:t>
      </w:r>
    </w:p>
    <w:p>
      <w:pPr>
        <w:pStyle w:val="ListBullet"/>
      </w:pPr>
      <w:r>
        <w:t>⑦ 철회·만료·분쟁·운영 차단과 충돌 확인. 모호한 경로는 검토 상태로 격리.</w:t>
      </w:r>
    </w:p>
    <w:p>
      <w:pPr>
        <w:pStyle w:val="ListBullet"/>
      </w:pPr>
      <w:r>
        <w:t>⑧ 선택된 edge_id와 버전·scope_digest·context_digest를 판정 증빙에 저장.</w:t>
      </w:r>
    </w:p>
    <w:p>
      <w:pPr>
        <w:pStyle w:val="Heading2"/>
      </w:pPr>
      <w:r>
        <w:t>8.3 횟수 제한과 철회</w:t>
      </w:r>
    </w:p>
    <w:p>
      <w:pPr>
        <w:pStyle w:val="ListBullet"/>
      </w:pPr>
      <w:r>
        <w:t>횟수 제한 처리: 판정 → 원자적 이용 예약 → 실행 → 소비 확정 또는 예약 해제.</w:t>
      </w:r>
    </w:p>
    <w:p>
      <w:pPr>
        <w:pStyle w:val="ListBullet"/>
      </w:pPr>
      <w:r>
        <w:t>예약·소비 API의 멱등 키 공유. 실행 결과 불명 상태에서는 예약을 중복 소비하지 않음.</w:t>
      </w:r>
    </w:p>
    <w:p>
      <w:pPr>
        <w:pStyle w:val="ListBullet"/>
      </w:pPr>
      <w:r>
        <w:t>철회 시 revocation_epoch 증가. 계약·스템 역방향 인덱스로 영향 조합·Release 조회.</w:t>
      </w:r>
    </w:p>
    <w:p>
      <w:pPr>
        <w:pStyle w:val="ListBullet"/>
      </w:pPr>
      <w:r>
        <w:t>민감 실행은 최신 차단 버전 확인. 외부 유통 삭제 요청과 채널의 반영 완료를 별도 추적.</w:t>
      </w:r>
    </w:p>
    <w:p>
      <w:pPr>
        <w:pStyle w:val="Heading2"/>
      </w:pPr>
      <w:r>
        <w:t>8.4 문맥별 권리 판정 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3572"/>
        <w:gridCol w:w="3685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선택 스템</w:t>
            </w:r>
          </w:p>
        </w:tc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허락 범위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결과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V1 원곡 보컬</w:t>
            </w:r>
          </w:p>
        </w:tc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KR·JP 앱 재생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개별 사용 가능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V2 재녹음</w:t>
            </w:r>
          </w:p>
        </w:tc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KR 앱 재생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JP 미허락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H 잠금 코러스</w:t>
            </w:r>
          </w:p>
        </w:tc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KR·JP 앱·숏폼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개별 사용 가능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V1 + V2 + H</w:t>
            </w:r>
          </w:p>
        </w:tc>
        <w:tc>
          <w:tcPr>
            <w:tcW w:type="dxa" w:w="357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필수 권리 범위 동시 충족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KR 앱만 허용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9 역할별 배분 알고리즘</w:t>
      </w:r>
    </w:p>
    <w:p>
      <w:pPr>
        <w:pStyle w:val="Heading2"/>
      </w:pPr>
      <w:r>
        <w:t>9.1 계약 버킷과 사용량 분리</w:t>
      </w:r>
    </w:p>
    <w:p>
      <w:pPr>
        <w:pStyle w:val="ListBullet"/>
      </w:pPr>
      <w:r>
        <w:t>Tier 1: 배분 기준액을 플랫폼·팬 보상 예산·권리자 풀로 분리.</w:t>
      </w:r>
    </w:p>
    <w:p>
      <w:pPr>
        <w:pStyle w:val="ListBullet"/>
      </w:pPr>
      <w:r>
        <w:t>Tier 2: 권리자 풀을 악곡·마스터·실연·약정 참여자 버킷으로 분리.</w:t>
      </w:r>
    </w:p>
    <w:p>
      <w:pPr>
        <w:pStyle w:val="ListBullet"/>
      </w:pPr>
      <w:r>
        <w:t>악곡·마스터는 승인된 계약·권리 벡터 적용. 사용량 계약이 명시된 버킷에만 스템 시간 사용.</w:t>
      </w:r>
    </w:p>
    <w:p>
      <w:pPr>
        <w:pStyle w:val="ListBullet"/>
      </w:pPr>
      <w:r>
        <w:t>실연 풀은 FIXED·USAGE_WEIGHTED·HYBRID·MEMBER_PCT 중 정책에 고정된 방식 적용.</w:t>
      </w:r>
    </w:p>
    <w:p>
      <w:pPr>
        <w:pStyle w:val="Heading2"/>
      </w:pPr>
      <w:r>
        <w:t>9.2 실연 기여 벡터</w:t>
      </w:r>
    </w:p>
    <w:p>
      <w:pPr>
        <w:spacing w:after="0" w:line="240" w:lineRule="auto"/>
      </w:pPr>
      <w:r>
        <w:rPr>
          <w:rFonts w:ascii="Menlo" w:hAnsi="Menlo"/>
          <w:sz w:val="17"/>
        </w:rPr>
        <w:t>x[p] = SUM_u(duration_target_ms[u]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         * layer_weight[u]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         * performer_share[u,p])</w:t>
      </w:r>
    </w:p>
    <w:p>
      <w:pPr>
        <w:spacing w:after="0" w:line="240" w:lineRule="auto"/>
      </w:pPr>
      <w:r>
        <w:rPr>
          <w:rFonts w:ascii="Menlo" w:hAnsi="Menlo"/>
          <w:sz w:val="17"/>
        </w:rPr>
        <w:t>usage[p] = x[p] / SUM_q(x[q])</w:t>
      </w:r>
    </w:p>
    <w:p>
      <w:pPr>
        <w:spacing w:after="0" w:line="240" w:lineRule="auto"/>
      </w:pPr>
      <w:r>
        <w:rPr>
          <w:rFonts w:ascii="Menlo" w:hAnsi="Menlo"/>
          <w:sz w:val="17"/>
        </w:rPr>
        <w:t>hybrid[p] = alpha * fixed[p] + (1-alpha) * usage[p]</w:t>
      </w:r>
    </w:p>
    <w:p>
      <w:pPr>
        <w:pStyle w:val="ListBullet"/>
      </w:pPr>
      <w:r>
        <w:t>ASSIGNED_LAYER_MS: 결과 타임라인의 레이어별 사용 밀리초 합산. 다중 레이어 합계는 곡 길이를 초과할 수 있음.</w:t>
      </w:r>
    </w:p>
    <w:p>
      <w:pPr>
        <w:pStyle w:val="ListBullet"/>
      </w:pPr>
      <w:r>
        <w:t>QUALIFIED_LISTEN_MS: 유효 청취 구간을 사용하는 별도 계약 메트릭. 배정 길이와 혼합 금지.</w:t>
      </w:r>
    </w:p>
    <w:p>
      <w:pPr>
        <w:pStyle w:val="ListBullet"/>
      </w:pPr>
      <w:r>
        <w:t>한 스템의 복수 실연자는 승인된 performer_share로 분할.</w:t>
      </w:r>
    </w:p>
    <w:p>
      <w:pPr>
        <w:pStyle w:val="ListBullet"/>
      </w:pPr>
      <w:r>
        <w:t>크로스페이드·반복·타임스트레치는 target 구간과 변형 명세로 반영. 레이어 가중치는 계약으로 고정.</w:t>
      </w:r>
    </w:p>
    <w:p>
      <w:pPr>
        <w:pStyle w:val="ListBullet"/>
      </w:pPr>
      <w:r>
        <w:t>팬의 볼륨 변경으로 수익 지분 증가 금지. 무음·뮤트 처리 기준은 정책 버전에 고정.</w:t>
      </w:r>
    </w:p>
    <w:p>
      <w:pPr>
        <w:pStyle w:val="ListBullet"/>
      </w:pPr>
      <w:r>
        <w:t>분모 0은 승인된 fallback 적용. fallback이 없으면 해당 풀 보류.</w:t>
      </w:r>
    </w:p>
    <w:p>
      <w:pPr>
        <w:pStyle w:val="ListBullet"/>
      </w:pPr>
      <w:r>
        <w:t>미선택자라도 FIXED·HYBRID의 계약상 고정 몫은 유지. 일시금 계약 등 합법적 0 배분과 누락 오류 구분.</w:t>
      </w:r>
    </w:p>
    <w:p>
      <w:pPr>
        <w:pStyle w:val="Heading2"/>
      </w:pPr>
      <w:r>
        <w:t>9.3 상한과 하한</w:t>
      </w:r>
    </w:p>
    <w:p>
      <w:pPr>
        <w:pStyle w:val="ListBullet"/>
      </w:pPr>
      <w:r>
        <w:t>선검사: 각 floor ≤ cap, 전체 floor 합 ≤ 1 ≤ 전체 cap 합. 불가능한 조합은 정책 활성화 차단.</w:t>
      </w:r>
    </w:p>
    <w:p>
      <w:pPr>
        <w:pStyle w:val="ListBullet"/>
      </w:pPr>
      <w:r>
        <w:t>계산: 하한 배정 → 잔여를 기초 가중치로 배정 → 상한 도달자 고정 → 나머지에 반복 배정.</w:t>
      </w:r>
    </w:p>
    <w:p>
      <w:pPr>
        <w:pStyle w:val="ListBullet"/>
      </w:pPr>
      <w:r>
        <w:t>잔여 대상의 기초 가중치가 모두 0이면 승인된 균등 fallback 또는 오류 적용.</w:t>
      </w:r>
    </w:p>
    <w:p>
      <w:pPr>
        <w:pStyle w:val="ListBullet"/>
      </w:pPr>
      <w:r>
        <w:t>상한 적용 후 단순 재정규화로 상한을 다시 초과하는 계산 금지.</w:t>
      </w:r>
    </w:p>
    <w:p>
      <w:pPr>
        <w:pStyle w:val="Heading2"/>
        <w:pageBreakBefore/>
      </w:pPr>
      <w:r>
        <w:t>9.4 금액 연산과 반올림</w:t>
      </w:r>
    </w:p>
    <w:p>
      <w:pPr>
        <w:pStyle w:val="ListBullet"/>
      </w:pPr>
      <w:r>
        <w:t>금액 타입: Money&lt;Currency&gt;. 통화별 최소 단위와 소수 정밀도 고정.</w:t>
      </w:r>
    </w:p>
    <w:p>
      <w:pPr>
        <w:pStyle w:val="ListBullet"/>
      </w:pPr>
      <w:r>
        <w:t>중간 비율: 정확한 유리수 또는 정밀도·오차 경계가 명시된 고정소수점. 금전 원장에 이진 부동소수점 사용 금지.</w:t>
      </w:r>
    </w:p>
    <w:p>
      <w:pPr>
        <w:pStyle w:val="ListBullet"/>
      </w:pPr>
      <w:r>
        <w:t>정산 그룹: 계약·기간·통화·수익 종류·정책 digest·필요 이용 문맥이 동일한 항목 집계.</w:t>
      </w:r>
    </w:p>
    <w:p>
      <w:pPr>
        <w:pStyle w:val="ListBullet"/>
      </w:pPr>
      <w:r>
        <w:t>반올림 단위: 정산 그룹의 부모 풀을 정수 금액으로 확정한 후 자식 풀·귀속자로 순차 분할.</w:t>
      </w:r>
    </w:p>
    <w:p>
      <w:pPr>
        <w:pStyle w:val="ListBullet"/>
      </w:pPr>
      <w:r>
        <w:t>알고리즘: HIERARCHICAL_LRM_V1. 소수잔여 내림차순, 동률은 entitlement_id 오름차순.</w:t>
      </w:r>
    </w:p>
    <w:p>
      <w:pPr>
        <w:pStyle w:val="ListBullet"/>
      </w:pPr>
      <w:r>
        <w:t>예상 배분은 정밀 값 누적. 매 스트림마다 최소 통화 단위로 반올림하지 않음.</w:t>
      </w:r>
    </w:p>
    <w:p>
      <w:pPr>
        <w:spacing w:after="0" w:line="240" w:lineRule="auto"/>
      </w:pPr>
      <w:r>
        <w:rPr>
          <w:rFonts w:ascii="Menlo" w:hAnsi="Menlo"/>
          <w:sz w:val="17"/>
        </w:rPr>
        <w:t>exact[i] = parent_amount * ratio[i]</w:t>
      </w:r>
    </w:p>
    <w:p>
      <w:pPr>
        <w:spacing w:after="0" w:line="240" w:lineRule="auto"/>
      </w:pPr>
      <w:r>
        <w:rPr>
          <w:rFonts w:ascii="Menlo" w:hAnsi="Menlo"/>
          <w:sz w:val="17"/>
        </w:rPr>
        <w:t>amount[i] = floor(exact[i])</w:t>
      </w:r>
    </w:p>
    <w:p>
      <w:pPr>
        <w:spacing w:after="0" w:line="240" w:lineRule="auto"/>
      </w:pPr>
      <w:r>
        <w:rPr>
          <w:rFonts w:ascii="Menlo" w:hAnsi="Menlo"/>
          <w:sz w:val="17"/>
        </w:rPr>
        <w:t>remaining = parent_amount - SUM_i(amount[i])</w:t>
      </w:r>
    </w:p>
    <w:p>
      <w:pPr>
        <w:spacing w:after="0" w:line="240" w:lineRule="auto"/>
      </w:pPr>
      <w:r>
        <w:rPr>
          <w:rFonts w:ascii="Menlo" w:hAnsi="Menlo"/>
          <w:sz w:val="17"/>
        </w:rPr>
        <w:t>order = sort_by(fraction(exact) DESC, entitlement_id ASC)</w:t>
      </w:r>
    </w:p>
    <w:p>
      <w:pPr>
        <w:spacing w:after="0" w:line="240" w:lineRule="auto"/>
      </w:pPr>
      <w:r>
        <w:rPr>
          <w:rFonts w:ascii="Menlo" w:hAnsi="Menlo"/>
          <w:sz w:val="17"/>
        </w:rPr>
        <w:t>add_one_minor_unit(order[0:remaining])</w:t>
      </w:r>
    </w:p>
    <w:p>
      <w:pPr>
        <w:spacing w:after="0" w:line="240" w:lineRule="auto"/>
      </w:pPr>
      <w:r>
        <w:rPr>
          <w:rFonts w:ascii="Menlo" w:hAnsi="Menlo"/>
          <w:sz w:val="17"/>
        </w:rPr>
        <w:t>assert SUM_i(amount[i]) == parent_amount</w:t>
      </w:r>
    </w:p>
    <w:p>
      <w:pPr>
        <w:pStyle w:val="Heading2"/>
      </w:pPr>
      <w:r>
        <w:t>9.5 고급 계약 연산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082"/>
        <w:gridCol w:w="3742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조항</w:t>
            </w:r>
          </w:p>
        </w:tc>
        <w:tc>
          <w:tcPr>
            <w:tcW w:type="dxa" w:w="408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계산 의미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보존 규칙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단위당·매출 비례</w:t>
            </w:r>
          </w:p>
        </w:tc>
        <w:tc>
          <w:tcPr>
            <w:tcW w:type="dxa" w:w="408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합산 또는 max 여부를 계약에 명시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중복 청구 차단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기간 최소보장</w:t>
            </w:r>
          </w:p>
        </w:tc>
        <w:tc>
          <w:tcPr>
            <w:tcW w:type="dxa" w:w="408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max(기간 귀속액, 보장액)의 부족분 계상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부담 주체의 별도 비용·채무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회수 가능 선급금</w:t>
            </w:r>
          </w:p>
        </w:tc>
        <w:tc>
          <w:tcPr>
            <w:tcW w:type="dxa" w:w="408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허용 계약의 귀속액에서 잔액 한도 회수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타 권리자·타 계약 임의 상계 금지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고정료</w:t>
            </w:r>
          </w:p>
        </w:tc>
        <w:tc>
          <w:tcPr>
            <w:tcW w:type="dxa" w:w="408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매출과 별개로 지급 일정에 따른 의무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원 수익 풀과 별도 계정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누진 요율</w:t>
            </w:r>
          </w:p>
        </w:tc>
        <w:tc>
          <w:tcPr>
            <w:tcW w:type="dxa" w:w="408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구간별 증분 또는 전체 적용 방식 고정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임계점 전후 중복·누락 방지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제작·기획 수수료</w:t>
            </w:r>
          </w:p>
        </w:tc>
        <w:tc>
          <w:tcPr>
            <w:tcW w:type="dxa" w:w="408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기준 버킷과 gross/net 기준 명시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같은 공제 중복 차감 금지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환율·세금</w:t>
            </w:r>
          </w:p>
        </w:tc>
        <w:tc>
          <w:tcPr>
            <w:tcW w:type="dxa" w:w="408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승인된 시점·소스·세무 프로필 적용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원통화·지급통화·공제 분리</w:t>
            </w:r>
          </w:p>
        </w:tc>
      </w:tr>
    </w:tbl>
    <w:p>
      <w:pPr>
        <w:spacing w:after="0"/>
      </w:pPr>
    </w:p>
    <w:p>
      <w:pPr>
        <w:pStyle w:val="ListBullet"/>
      </w:pPr>
      <w:r>
        <w:t>기준액보다 계약상 의무가 크면 추가 비용·채무를 기록. 보존식을 맞추기 위한 권리료 축소 금지.</w:t>
      </w:r>
    </w:p>
    <w:p>
      <w:pPr>
        <w:pStyle w:val="ListBullet"/>
      </w:pPr>
      <w:r>
        <w:t>실행 순서와 회수 범위는 계약별 계획에 고정. 계산 중 외부 잔액을 읽지 않고 승인된 잔액 스냅샷과 버전을 입력.</w:t>
      </w:r>
    </w:p>
    <w:p>
      <w:pPr>
        <w:pStyle w:val="Heading1"/>
        <w:pageBreakBefore/>
      </w:pPr>
      <w:r>
        <w:t>10 정산 DSL 설계</w:t>
      </w:r>
    </w:p>
    <w:p>
      <w:pPr>
        <w:pStyle w:val="Heading2"/>
      </w:pPr>
      <w:r>
        <w:t>10.1 언어와 실행 경계</w:t>
      </w:r>
    </w:p>
    <w:p>
      <w:pPr>
        <w:pStyle w:val="ListBullet"/>
      </w:pPr>
      <w:r>
        <w:t>언어 ID: VC-DSL/2. 목적: 보컬조합의 수익 기준액·권리 버킷·실연 기여·귀속 조건을 선언적으로 표현.</w:t>
      </w:r>
    </w:p>
    <w:p>
      <w:pPr>
        <w:pStyle w:val="ListBullet"/>
      </w:pPr>
      <w:r>
        <w:t>입력: 승인된 권리 그래프 투영, 조합 스냅샷, 수익·사용량·회수 잔액, 정산 문맥.</w:t>
      </w:r>
    </w:p>
    <w:p>
      <w:pPr>
        <w:pStyle w:val="ListBullet"/>
      </w:pPr>
      <w:r>
        <w:t>출력: 역할별 귀속액, 미배분 보류, 적용 규칙, 계산 추적, 원장 기록용 명령.</w:t>
      </w:r>
    </w:p>
    <w:p>
      <w:pPr>
        <w:pStyle w:val="ListBullet"/>
      </w:pPr>
      <w:r>
        <w:t>금지: 외부 I/O, 현재 시계 읽기, 난수, 사용자 코드 실행, 무제한 반복.</w:t>
      </w:r>
    </w:p>
    <w:p>
      <w:pPr>
        <w:pStyle w:val="ListBullet"/>
      </w:pPr>
      <w:r>
        <w:t>법적 권리의 성립과 진실성을 DSL이 생성·판정하지 않음. 승인된 입력을 기준으로 정합 및 금액 계산.</w:t>
      </w:r>
    </w:p>
    <w:p>
      <w:pPr>
        <w:pStyle w:val="Heading2"/>
      </w:pPr>
      <w:r>
        <w:t>10.2 타입과 함수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3515"/>
        <w:gridCol w:w="3402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타입 또는 함수</w:t>
            </w:r>
          </w:p>
        </w:tc>
        <w:tc>
          <w:tcPr>
            <w:tcW w:type="dxa" w:w="351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의미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제약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Money&lt;C&gt; / Ratio</w:t>
            </w:r>
          </w:p>
        </w:tc>
        <w:tc>
          <w:tcPr>
            <w:tcW w:type="dxa" w:w="351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통화 금액 / 0~1 비율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통화 혼합·범위 초과 차단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DurationMs / Count</w:t>
            </w:r>
          </w:p>
        </w:tc>
        <w:tc>
          <w:tcPr>
            <w:tcW w:type="dxa" w:w="351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 / 유효 건수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금액과 암묵 변환 금지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Vector&lt;Role&gt;</w:t>
            </w:r>
          </w:p>
        </w:tc>
        <w:tc>
          <w:tcPr>
            <w:tcW w:type="dxa" w:w="351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역할별 수익자 비율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대상·합계·근거 보존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basis(report, profile)</w:t>
            </w:r>
          </w:p>
        </w:tc>
        <w:tc>
          <w:tcPr>
            <w:tcW w:type="dxa" w:w="351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공제 확인 후 기준액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이미 공제한 비용 차감 금지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contract_vector(id)</w:t>
            </w:r>
          </w:p>
        </w:tc>
        <w:tc>
          <w:tcPr>
            <w:tcW w:type="dxa" w:w="351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승인된 계약 배분 벡터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ID와 버전 필수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usage_vector(metric, role)</w:t>
            </w:r>
          </w:p>
        </w:tc>
        <w:tc>
          <w:tcPr>
            <w:tcW w:type="dxa" w:w="351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스템 사용량 기반 벡터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역할별 허용 메트릭 제한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mix(v1, w1, v2, w2)</w:t>
            </w:r>
          </w:p>
        </w:tc>
        <w:tc>
          <w:tcPr>
            <w:tcW w:type="dxa" w:w="351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벡터 가중 혼합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가중치 합 100%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bounded(v, floors, caps)</w:t>
            </w:r>
          </w:p>
        </w:tc>
        <w:tc>
          <w:tcPr>
            <w:tcW w:type="dxa" w:w="351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상하한 포함 배분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실현 가능성 선검사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split / allocate</w:t>
            </w:r>
          </w:p>
        </w:tc>
        <w:tc>
          <w:tcPr>
            <w:tcW w:type="dxa" w:w="351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풀 분할 / 수익자 귀속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부모·자식 금액 보존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hold(scope, reason)</w:t>
            </w:r>
          </w:p>
        </w:tc>
        <w:tc>
          <w:tcPr>
            <w:tcW w:type="dxa" w:w="351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금전 보류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사유·범위·금액 저장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recoup(account, amount)</w:t>
            </w:r>
          </w:p>
        </w:tc>
        <w:tc>
          <w:tcPr>
            <w:tcW w:type="dxa" w:w="351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선급금 회수 명령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허용 계정·잔액 한도</w:t>
            </w:r>
          </w:p>
        </w:tc>
      </w:tr>
    </w:tbl>
    <w:p>
      <w:pPr>
        <w:spacing w:after="0"/>
      </w:pPr>
    </w:p>
    <w:p>
      <w:pPr>
        <w:pStyle w:val="Heading2"/>
      </w:pPr>
      <w:r>
        <w:t>10.3 컴파일 산출물</w:t>
      </w:r>
    </w:p>
    <w:p>
      <w:pPr>
        <w:pStyle w:val="ListBullet"/>
      </w:pPr>
      <w:r>
        <w:t>AST: 문법을 정규화한 정책 트리. 필드·함수·열거형의 미정의 값 거부.</w:t>
      </w:r>
    </w:p>
    <w:p>
      <w:pPr>
        <w:pStyle w:val="ListBullet"/>
      </w:pPr>
      <w:r>
        <w:t>IR: 입력 바인딩·벡터·split·allocate·guard·반올림의 실행 DAG.</w:t>
      </w:r>
    </w:p>
    <w:p>
      <w:pPr>
        <w:pStyle w:val="ListBullet"/>
      </w:pPr>
      <w:r>
        <w:t>digest: 정규 AST + 계약·템플릿·함수 라이브러리·컴파일러·엔진 버전의 해시.</w:t>
      </w:r>
    </w:p>
    <w:p>
      <w:pPr>
        <w:pStyle w:val="ListBullet"/>
      </w:pPr>
      <w:r>
        <w:t>정책 상태: DRAFT → VALIDATED → APPROVED → ACTIVE → SUPERSEDED. 활성 버전의 내용 수정 금지.</w:t>
      </w:r>
    </w:p>
    <w:p>
      <w:pPr>
        <w:pStyle w:val="Heading2"/>
        <w:pageBreakBefore/>
      </w:pPr>
      <w:r>
        <w:t>10.4 구조 문법과 선택 규칙</w:t>
      </w:r>
    </w:p>
    <w:p>
      <w:pPr>
        <w:spacing w:after="0" w:line="240" w:lineRule="auto"/>
      </w:pPr>
      <w:r>
        <w:rPr>
          <w:rFonts w:ascii="Menlo" w:hAnsi="Menlo"/>
          <w:sz w:val="17"/>
        </w:rPr>
        <w:t>Program := policy STRING version INT language STRING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       { Scope Bind Input Split* Allocate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         Guard Exceptions Rounding }</w:t>
      </w:r>
    </w:p>
    <w:p>
      <w:pPr>
        <w:spacing w:after="0" w:line="240" w:lineRule="auto"/>
      </w:pPr>
      <w:r>
        <w:rPr>
          <w:rFonts w:ascii="Menlo" w:hAnsi="Menlo"/>
          <w:sz w:val="17"/>
        </w:rPr>
        <w:t>Scope := scope { Field = Literal ; ... }</w:t>
      </w:r>
    </w:p>
    <w:p>
      <w:pPr>
        <w:spacing w:after="0" w:line="240" w:lineRule="auto"/>
      </w:pPr>
      <w:r>
        <w:rPr>
          <w:rFonts w:ascii="Menlo" w:hAnsi="Menlo"/>
          <w:sz w:val="17"/>
        </w:rPr>
        <w:t>Bind := bind { Field = Literal | VersionedID ; ... }</w:t>
      </w:r>
    </w:p>
    <w:p>
      <w:pPr>
        <w:spacing w:after="0" w:line="240" w:lineRule="auto"/>
      </w:pPr>
      <w:r>
        <w:rPr>
          <w:rFonts w:ascii="Menlo" w:hAnsi="Menlo"/>
          <w:sz w:val="17"/>
        </w:rPr>
        <w:t>Input := input { Name = Expression ; ... }</w:t>
      </w:r>
    </w:p>
    <w:p>
      <w:pPr>
        <w:spacing w:after="0" w:line="240" w:lineRule="auto"/>
      </w:pPr>
      <w:r>
        <w:rPr>
          <w:rFonts w:ascii="Menlo" w:hAnsi="Menlo"/>
          <w:sz w:val="17"/>
        </w:rPr>
        <w:t>Split := split MoneyReference { Name = Ratio ; ... }</w:t>
      </w:r>
    </w:p>
    <w:p>
      <w:pPr>
        <w:spacing w:after="0" w:line="240" w:lineRule="auto"/>
      </w:pPr>
      <w:r>
        <w:rPr>
          <w:rFonts w:ascii="Menlo" w:hAnsi="Menlo"/>
          <w:sz w:val="17"/>
        </w:rPr>
        <w:t>Allocate := allocate { Bucket -&gt; VectorExpression ; ... }</w:t>
      </w:r>
    </w:p>
    <w:p>
      <w:pPr>
        <w:spacing w:after="0" w:line="240" w:lineRule="auto"/>
      </w:pPr>
      <w:r>
        <w:rPr>
          <w:rFonts w:ascii="Menlo" w:hAnsi="Menlo"/>
          <w:sz w:val="17"/>
        </w:rPr>
        <w:t>Expression := Literal | Reference | BuiltinCall</w:t>
      </w:r>
    </w:p>
    <w:p>
      <w:pPr>
        <w:spacing w:after="0" w:line="240" w:lineRule="auto"/>
      </w:pPr>
      <w:r>
        <w:rPr>
          <w:rFonts w:ascii="Menlo" w:hAnsi="Menlo"/>
          <w:sz w:val="17"/>
        </w:rPr>
        <w:t>Guard := guard { require Predicate ; ... }</w:t>
      </w:r>
    </w:p>
    <w:p>
      <w:pPr>
        <w:spacing w:after="0" w:line="240" w:lineRule="auto"/>
      </w:pPr>
      <w:r>
        <w:rPr>
          <w:rFonts w:ascii="Menlo" w:hAnsi="Menlo"/>
          <w:sz w:val="17"/>
        </w:rPr>
        <w:t>Exceptions := exceptions { Error -&gt; Handler ; ... }</w:t>
      </w:r>
    </w:p>
    <w:p>
      <w:pPr>
        <w:spacing w:after="0" w:line="240" w:lineRule="auto"/>
      </w:pPr>
      <w:r>
        <w:rPr>
          <w:rFonts w:ascii="Menlo" w:hAnsi="Menlo"/>
          <w:sz w:val="17"/>
        </w:rPr>
        <w:t>Rounding := rounding { algorithm = ID ;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                  scope = ID ; tie = ID ; }</w:t>
      </w:r>
    </w:p>
    <w:p>
      <w:pPr>
        <w:pStyle w:val="ListBullet"/>
      </w:pPr>
      <w:r>
        <w:t>Scope 축: pack·event·channel·medium·use_type·territory·currency·기간. 입력 누락과 범위 불일치 구분.</w:t>
      </w:r>
    </w:p>
    <w:p>
      <w:pPr>
        <w:pStyle w:val="ListBullet"/>
      </w:pPr>
      <w:r>
        <w:t>동일 문맥에 복수 정책이 적용되면 AMBIGUOUS_POLICY. 우연한 저장 순서로 정책 선택 금지.</w:t>
      </w:r>
    </w:p>
    <w:p>
      <w:pPr>
        <w:pStyle w:val="ListBullet"/>
      </w:pPr>
      <w:r>
        <w:t>상위 계약의 수정은 명시적인 amendment 관계와 적용 기간 필요.</w:t>
      </w:r>
    </w:p>
    <w:p>
      <w:pPr>
        <w:pStyle w:val="ListBullet"/>
      </w:pPr>
      <w:r>
        <w:t>필수 바인딩: 계약·권리·기준액 프로필·시점 기준. 사용 함수의 종속 버전까지 고정.</w:t>
      </w:r>
    </w:p>
    <w:p>
      <w:pPr>
        <w:pStyle w:val="ListBullet"/>
      </w:pPr>
      <w:r>
        <w:t>각 버킷은 하위 split 또는 terminal allocate 중 한 방식으로 완전히 해소. 잔여·중복 배정 금지.</w:t>
      </w:r>
    </w:p>
    <w:p>
      <w:pPr>
        <w:pStyle w:val="Heading2"/>
      </w:pPr>
      <w:r>
        <w:t>10.5 컴파일 및 런타임 검증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4592"/>
        <w:gridCol w:w="3175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4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검증 항목</w:t>
            </w:r>
          </w:p>
        </w:tc>
        <w:tc>
          <w:tcPr>
            <w:tcW w:type="dxa" w:w="317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오류 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문법·타입</w:t>
            </w:r>
          </w:p>
        </w:tc>
        <w:tc>
          <w:tcPr>
            <w:tcW w:type="dxa" w:w="4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함수 인수·통화·역할·식 참조</w:t>
            </w:r>
          </w:p>
        </w:tc>
        <w:tc>
          <w:tcPr>
            <w:tcW w:type="dxa" w:w="317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DSL_TYPE_ERROR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정적 구조</w:t>
            </w:r>
          </w:p>
        </w:tc>
        <w:tc>
          <w:tcPr>
            <w:tcW w:type="dxa" w:w="4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합계·범위 중첩·순환·미귀속 버킷</w:t>
            </w:r>
          </w:p>
        </w:tc>
        <w:tc>
          <w:tcPr>
            <w:tcW w:type="dxa" w:w="317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SPLIT_SUM_INVALID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종속 데이터</w:t>
            </w:r>
          </w:p>
        </w:tc>
        <w:tc>
          <w:tcPr>
            <w:tcW w:type="dxa" w:w="4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계약·지분·템플릿·증빙 버전 존재</w:t>
            </w:r>
          </w:p>
        </w:tc>
        <w:tc>
          <w:tcPr>
            <w:tcW w:type="dxa" w:w="317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DEPENDENCY_MISSING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런타임 권리</w:t>
            </w:r>
          </w:p>
        </w:tc>
        <w:tc>
          <w:tcPr>
            <w:tcW w:type="dxa" w:w="4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허락 효력·철회·권리 커버리지</w:t>
            </w:r>
          </w:p>
        </w:tc>
        <w:tc>
          <w:tcPr>
            <w:tcW w:type="dxa" w:w="317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LICENSE_NOT_COVERED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런타임 계산</w:t>
            </w:r>
          </w:p>
        </w:tc>
        <w:tc>
          <w:tcPr>
            <w:tcW w:type="dxa" w:w="4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0 분모·사용량·지급 자격·잔액</w:t>
            </w:r>
          </w:p>
        </w:tc>
        <w:tc>
          <w:tcPr>
            <w:tcW w:type="dxa" w:w="317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ZERO_USAGE / BALANCE_CONFLICT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확정 전</w:t>
            </w:r>
          </w:p>
        </w:tc>
        <w:tc>
          <w:tcPr>
            <w:tcW w:type="dxa" w:w="4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금액 보존·동일 실행·원거래 중복</w:t>
            </w:r>
          </w:p>
        </w:tc>
        <w:tc>
          <w:tcPr>
            <w:tcW w:type="dxa" w:w="317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MONEY_NOT_CONSERVED</w:t>
            </w:r>
          </w:p>
        </w:tc>
      </w:tr>
    </w:tbl>
    <w:p>
      <w:pPr>
        <w:spacing w:after="0"/>
      </w:pPr>
    </w:p>
    <w:p>
      <w:pPr>
        <w:pStyle w:val="ListBullet"/>
      </w:pPr>
      <w:r>
        <w:t>허락 부족은 이용 거부. 금전 대상 미확인은 영향 풀 보류. 둘을 하나의 예외 처리로 대체하지 않음.</w:t>
      </w:r>
    </w:p>
    <w:p>
      <w:pPr>
        <w:pStyle w:val="ListBullet"/>
      </w:pPr>
      <w:r>
        <w:t>기본 예외는 실행 실패 또는 명시적 보류. 오류를 0원으로 묵인하는 fallback 금지.</w:t>
      </w:r>
    </w:p>
    <w:p>
      <w:pPr>
        <w:pStyle w:val="Heading2"/>
        <w:pageBreakBefore/>
      </w:pPr>
      <w:r>
        <w:t>10.6 보컬조합 정책 명세 예</w:t>
      </w:r>
    </w:p>
    <w:p>
      <w:pPr>
        <w:pStyle w:val="ListBullet"/>
      </w:pPr>
      <w:r>
        <w:t>아래 수치는 가상 계약 W001의 정책 데이터. 모든 곡과 채널의 공통 요율로 사용하지 않음.</w:t>
      </w:r>
    </w:p>
    <w:p>
      <w:pPr>
        <w:spacing w:after="0" w:line="240" w:lineRule="auto"/>
      </w:pPr>
      <w:r>
        <w:rPr>
          <w:rFonts w:ascii="Menlo" w:hAnsi="Menlo"/>
          <w:sz w:val="17"/>
        </w:rPr>
        <w:t>policy "W001_APP_PRIMARY" version 1 language "VC-DSL/2" {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scope {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pack = "PACK_W001"; event = PRIMARY;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channel = APP; territory = KR; currency = KRW;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}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bind {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contract = "CONTRACT_W001@1";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ownership = "RIGHTS_W001@1";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time = SALE_TIME; royalty_basis = "DIRECT_NET@1";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}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input {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amount = basis(report, "DIRECT_NET@1");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performers = mix(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  contract_vector("V1_V2_V3_EQUAL@1"), 40%,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  usage_vector(ASSIGNED_LAYER_MS, FEATURED), 60%);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}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split amount {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platform = 25%; fan_budget = 5%; rights = 70%;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}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split rights {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master = 40%; work = 10%;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featured = 40%; chorus = 10%;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}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allocate {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platform -&gt; contract_vector("PLATFORM_ACCOUNT@1");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fan_budget -&gt; contract_vector("FAN_BUDGET_ACCOUNT@1");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master -&gt; contract_vector("MASTER_L@1");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work -&gt; contract_vector("AUTHOR_A60_B40@1");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featured -&gt; performers;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chorus -&gt; contract_vector("CHORUS_H@1");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}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guard {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require license_coverage(context);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require eligible_entitlements_resolved;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require no_duplicate_collection;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require money_conserved;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}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exceptions {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missing_required_license -&gt; reject;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unresolved_entitlement -&gt; hold(AFFECTED_POOL, UNRESOLVED_ENTITLEMENT);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suspicious_usage -&gt; hold(AFFECTED_EVENT, SUSPICIOUS_USAGE);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}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rounding {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algorithm = HIERARCHICAL_LRM_V1;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scope = CONTRACT_PERIOD_CURRENCY_POOL;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tie = ENTITLEMENT_ID_ASC;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}</w:t>
      </w:r>
    </w:p>
    <w:p>
      <w:pPr>
        <w:spacing w:after="0" w:line="240" w:lineRule="auto"/>
      </w:pPr>
      <w:r>
        <w:rPr>
          <w:rFonts w:ascii="Menlo" w:hAnsi="Menlo"/>
          <w:sz w:val="17"/>
        </w:rPr>
        <w:t>}</w:t>
      </w:r>
    </w:p>
    <w:p>
      <w:pPr>
        <w:pStyle w:val="Heading2"/>
        <w:pageBreakBefore/>
      </w:pPr>
      <w:r>
        <w:t>10.7 실행 계획과 원장 결합</w:t>
      </w:r>
    </w:p>
    <w:p>
      <w:pPr>
        <w:pStyle w:val="ListBullet"/>
      </w:pPr>
      <w:r>
        <w:t>① 수익 이벤트·계약·정책·그래프·사용량·잔액 입력의 digest 검증.</w:t>
      </w:r>
    </w:p>
    <w:p>
      <w:pPr>
        <w:pStyle w:val="ListBullet"/>
      </w:pPr>
      <w:r>
        <w:t>② Scope로 정책 1개 결정 후 모든 바인딩을 불변 실행 문맥으로 고정.</w:t>
      </w:r>
    </w:p>
    <w:p>
      <w:pPr>
        <w:pStyle w:val="ListBullet"/>
      </w:pPr>
      <w:r>
        <w:t>③ 허락 커버리지·이벤트 중복·기준액 프로필·공제 검증.</w:t>
      </w:r>
    </w:p>
    <w:p>
      <w:pPr>
        <w:pStyle w:val="ListBullet"/>
      </w:pPr>
      <w:r>
        <w:t>④ 역할별 벡터 계산 및 상하한 적용.</w:t>
      </w:r>
    </w:p>
    <w:p>
      <w:pPr>
        <w:pStyle w:val="ListBullet"/>
      </w:pPr>
      <w:r>
        <w:t>⑤ 부모 풀에서 자식 버킷으로 순차 split. 말단 버킷을 수익권별 allocate.</w:t>
      </w:r>
    </w:p>
    <w:p>
      <w:pPr>
        <w:pStyle w:val="ListBullet"/>
      </w:pPr>
      <w:r>
        <w:t>⑥ 미확인 자격·분쟁·의심 이용은 지정 범위 보류. 영향이 없는 금액과 분리.</w:t>
      </w:r>
    </w:p>
    <w:p>
      <w:pPr>
        <w:pStyle w:val="ListBullet"/>
      </w:pPr>
      <w:r>
        <w:t>⑦ 정산 그룹별 계층 반올림 및 금액 보존 검사.</w:t>
      </w:r>
    </w:p>
    <w:p>
      <w:pPr>
        <w:pStyle w:val="ListBullet"/>
      </w:pPr>
      <w:r>
        <w:t>⑧ 귀속·보류·회수 명령과 실행 근거를 하나의 DB 트랜잭션으로 기록.</w:t>
      </w:r>
    </w:p>
    <w:p>
      <w:pPr>
        <w:pStyle w:val="ListBullet"/>
      </w:pPr>
      <w:r>
        <w:t>⑨ 승인 후 지급가능 상태 전환. 계산 엔진에서 송금 API 호출 금지.</w:t>
      </w:r>
    </w:p>
    <w:p>
      <w:pPr>
        <w:pStyle w:val="Heading2"/>
      </w:pPr>
      <w:r>
        <w:t>10.8 실행 명세와 재현성</w:t>
      </w:r>
    </w:p>
    <w:p>
      <w:pPr>
        <w:spacing w:after="0" w:line="240" w:lineRule="auto"/>
      </w:pPr>
      <w:r>
        <w:rPr>
          <w:rFonts w:ascii="Menlo" w:hAnsi="Menlo"/>
          <w:sz w:val="17"/>
        </w:rPr>
        <w:t>AllocationResult {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run_id, group_id, context_id, policy_digest,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lines: [{entitlement_id, beneficiary_id, role,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bucket_path, amount_minor, currency,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graph_edge_ids, expression_path, rounding_delta}],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holdings: [{scope_id, amount_minor, reason_code}],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balance_commands: [{account_id, expected_version,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  recoup_amount_minor}],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input_digest, result_digest</w:t>
      </w:r>
    </w:p>
    <w:p>
      <w:pPr>
        <w:spacing w:after="0" w:line="240" w:lineRule="auto"/>
      </w:pPr>
      <w:r>
        <w:rPr>
          <w:rFonts w:ascii="Menlo" w:hAnsi="Menlo"/>
          <w:sz w:val="17"/>
        </w:rPr>
        <w:t>}</w:t>
      </w:r>
    </w:p>
    <w:p>
      <w:pPr>
        <w:pStyle w:val="ListBullet"/>
      </w:pPr>
      <w:r>
        <w:t>run_id는 계산 시도 식별자. 동일 입력의 재실행은 동일 result_digest 산출.</w:t>
      </w:r>
    </w:p>
    <w:p>
      <w:pPr>
        <w:pStyle w:val="ListBullet"/>
      </w:pPr>
      <w:r>
        <w:t>경제적 확정 키는 정산 그룹·정책·입력 revision의 조합. 새 run_id만으로 동일 귀속을 재확정하지 않음.</w:t>
      </w:r>
    </w:p>
    <w:p>
      <w:pPr>
        <w:pStyle w:val="ListBullet"/>
      </w:pPr>
      <w:r>
        <w:t>선급금 잔액은 expected_version을 비교한 뒤 회수 원장과 함께 갱신. 충돌 시 새 잔액 스냅샷으로 재계산.</w:t>
      </w:r>
    </w:p>
    <w:p>
      <w:pPr>
        <w:pStyle w:val="ListBullet"/>
      </w:pPr>
      <w:r>
        <w:t>원장 라인은 beneficiary·role·bucket·entitlement 단위 유지. 실제 지급 단계에서 수령 계좌별 합산.</w:t>
      </w:r>
    </w:p>
    <w:p>
      <w:pPr>
        <w:pStyle w:val="ListBullet"/>
      </w:pPr>
      <w:r>
        <w:t>정책 변경은 신규 버전으로만 수행. 과거 확정액 변경은 원 실행을 연결한 조정으로 처리.</w:t>
      </w:r>
    </w:p>
    <w:p>
      <w:pPr>
        <w:pStyle w:val="Heading2"/>
      </w:pPr>
      <w:r>
        <w:t>10.9 정책 승인</w:t>
      </w:r>
    </w:p>
    <w:p>
      <w:pPr>
        <w:pStyle w:val="ListBullet"/>
      </w:pPr>
      <w:r>
        <w:t>편집 → 정적 검증 → 예제 계산 → 계약상 승인 주체 확인 → 별도 활성화 담당자 승인.</w:t>
      </w:r>
    </w:p>
    <w:p>
      <w:pPr>
        <w:pStyle w:val="ListBullet"/>
      </w:pPr>
      <w:r>
        <w:t>한 주체의 승인으로 다른 권리자의 미동의를 대체하지 않음.</w:t>
      </w:r>
    </w:p>
    <w:p>
      <w:pPr>
        <w:pStyle w:val="ListBullet"/>
      </w:pPr>
      <w:r>
        <w:t>정책 UI와 텍스트 편집기는 같은 AST·컴파일러·IR을 사용.</w:t>
      </w:r>
    </w:p>
    <w:p>
      <w:pPr>
        <w:pStyle w:val="ListBullet"/>
      </w:pPr>
      <w:r>
        <w:t>롤백 시 이전 정책을 선택한 새 배포 이력 생성. 확정 원장 삭제 금지.</w:t>
      </w:r>
    </w:p>
    <w:p>
      <w:pPr>
        <w:pStyle w:val="Heading1"/>
        <w:pageBreakBefore/>
      </w:pPr>
      <w:r>
        <w:t>11 가상곡 정산 데이터 예</w:t>
      </w:r>
    </w:p>
    <w:p>
      <w:pPr>
        <w:pStyle w:val="Heading2"/>
      </w:pPr>
      <w:r>
        <w:t>11.1 계약과 기준액</w:t>
      </w:r>
    </w:p>
    <w:p>
      <w:pPr>
        <w:pStyle w:val="ListBullet"/>
      </w:pPr>
      <w:r>
        <w:t>가상곡 W001: 악곡 A 60%·B 40%, 마스터 L, 주실연 V1·V2·V3, 코러스 H.</w:t>
      </w:r>
    </w:p>
    <w:p>
      <w:pPr>
        <w:pStyle w:val="ListBullet"/>
      </w:pPr>
      <w:r>
        <w:t>결제 11,000원 − 거래 세금 1,000원 − 허용 PG 비용 300원 = 배분 기준액 9,700원.</w:t>
      </w:r>
    </w:p>
    <w:p>
      <w:pPr>
        <w:pStyle w:val="ListBullet"/>
      </w:pPr>
      <w:r>
        <w:t>세금·비율·비용은 계산 예시용 계약 입력값. 실제 상품별 프로필로 확정.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4535"/>
        <w:gridCol w:w="2948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분배 단계</w:t>
            </w:r>
          </w:p>
        </w:tc>
        <w:tc>
          <w:tcPr>
            <w:tcW w:type="dxa" w:w="453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대상</w:t>
            </w:r>
          </w:p>
        </w:tc>
        <w:tc>
          <w:tcPr>
            <w:tcW w:type="dxa" w:w="294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금액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Tier 1</w:t>
            </w:r>
          </w:p>
        </w:tc>
        <w:tc>
          <w:tcPr>
            <w:tcW w:type="dxa" w:w="453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플랫폼 25%</w:t>
            </w:r>
          </w:p>
        </w:tc>
        <w:tc>
          <w:tcPr>
            <w:tcW w:type="dxa" w:w="294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2,425원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Tier 1</w:t>
            </w:r>
          </w:p>
        </w:tc>
        <w:tc>
          <w:tcPr>
            <w:tcW w:type="dxa" w:w="453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팬 보상 예산 5%</w:t>
            </w:r>
          </w:p>
        </w:tc>
        <w:tc>
          <w:tcPr>
            <w:tcW w:type="dxa" w:w="294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485원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Tier 1</w:t>
            </w:r>
          </w:p>
        </w:tc>
        <w:tc>
          <w:tcPr>
            <w:tcW w:type="dxa" w:w="453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권리자 풀 70%</w:t>
            </w:r>
          </w:p>
        </w:tc>
        <w:tc>
          <w:tcPr>
            <w:tcW w:type="dxa" w:w="294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6,790원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권리자 풀</w:t>
            </w:r>
          </w:p>
        </w:tc>
        <w:tc>
          <w:tcPr>
            <w:tcW w:type="dxa" w:w="453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마스터 L 40%</w:t>
            </w:r>
          </w:p>
        </w:tc>
        <w:tc>
          <w:tcPr>
            <w:tcW w:type="dxa" w:w="294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2,716원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권리자 풀</w:t>
            </w:r>
          </w:p>
        </w:tc>
        <w:tc>
          <w:tcPr>
            <w:tcW w:type="dxa" w:w="453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악곡 A·B 10%</w:t>
            </w:r>
          </w:p>
        </w:tc>
        <w:tc>
          <w:tcPr>
            <w:tcW w:type="dxa" w:w="294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679원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권리자 풀</w:t>
            </w:r>
          </w:p>
        </w:tc>
        <w:tc>
          <w:tcPr>
            <w:tcW w:type="dxa" w:w="453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주실연 풀 40%</w:t>
            </w:r>
          </w:p>
        </w:tc>
        <w:tc>
          <w:tcPr>
            <w:tcW w:type="dxa" w:w="294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2,716원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권리자 풀</w:t>
            </w:r>
          </w:p>
        </w:tc>
        <w:tc>
          <w:tcPr>
            <w:tcW w:type="dxa" w:w="453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코러스 H 10%</w:t>
            </w:r>
          </w:p>
        </w:tc>
        <w:tc>
          <w:tcPr>
            <w:tcW w:type="dxa" w:w="294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679원</w:t>
            </w:r>
          </w:p>
        </w:tc>
      </w:tr>
    </w:tbl>
    <w:p>
      <w:pPr>
        <w:spacing w:after="0"/>
      </w:pPr>
    </w:p>
    <w:p>
      <w:pPr>
        <w:pStyle w:val="Heading2"/>
      </w:pPr>
      <w:r>
        <w:t>11.2 실연 및 악곡 귀속</w:t>
      </w:r>
    </w:p>
    <w:p>
      <w:pPr>
        <w:pStyle w:val="ListBullet"/>
      </w:pPr>
      <w:r>
        <w:t>사용량 비율: V1 60%·V2 30%·V3 10%. HYBRID: 균등 40% + 사용량 60%.</w:t>
      </w:r>
    </w:p>
    <w:p>
      <w:pPr>
        <w:pStyle w:val="ListBullet"/>
      </w:pPr>
      <w:r>
        <w:t>혼합 비율: V1 49⅓%·V2 31⅓%·V3 19⅓%. 계층 최대 소수잔여법 적용.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268"/>
        <w:gridCol w:w="5216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수익자</w:t>
            </w:r>
          </w:p>
        </w:tc>
        <w:tc>
          <w:tcPr>
            <w:tcW w:type="dxa" w:w="226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귀속액</w:t>
            </w:r>
          </w:p>
        </w:tc>
        <w:tc>
          <w:tcPr>
            <w:tcW w:type="dxa" w:w="5216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산정 기준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V1</w:t>
            </w:r>
          </w:p>
        </w:tc>
        <w:tc>
          <w:tcPr>
            <w:tcW w:type="dxa" w:w="226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1,340원</w:t>
            </w:r>
          </w:p>
        </w:tc>
        <w:tc>
          <w:tcPr>
            <w:tcW w:type="dxa" w:w="5216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HYBRID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226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851원</w:t>
            </w:r>
          </w:p>
        </w:tc>
        <w:tc>
          <w:tcPr>
            <w:tcW w:type="dxa" w:w="5216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HYBRID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V3</w:t>
            </w:r>
          </w:p>
        </w:tc>
        <w:tc>
          <w:tcPr>
            <w:tcW w:type="dxa" w:w="226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525원</w:t>
            </w:r>
          </w:p>
        </w:tc>
        <w:tc>
          <w:tcPr>
            <w:tcW w:type="dxa" w:w="5216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HYBRID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226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407원</w:t>
            </w:r>
          </w:p>
        </w:tc>
        <w:tc>
          <w:tcPr>
            <w:tcW w:type="dxa" w:w="5216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악곡 풀의 60%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226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272원</w:t>
            </w:r>
          </w:p>
        </w:tc>
        <w:tc>
          <w:tcPr>
            <w:tcW w:type="dxa" w:w="5216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악곡 풀의 40%</w:t>
            </w:r>
          </w:p>
        </w:tc>
      </w:tr>
    </w:tbl>
    <w:p>
      <w:pPr>
        <w:spacing w:after="0"/>
      </w:pPr>
    </w:p>
    <w:p>
      <w:pPr>
        <w:pStyle w:val="ListBullet"/>
      </w:pPr>
      <w:r>
        <w:t>권리자 합계: 2,716 + 1,340 + 851 + 525 + 407 + 272 + 679 = 6,790원.</w:t>
      </w:r>
    </w:p>
    <w:p>
      <w:pPr>
        <w:pStyle w:val="ListBullet"/>
      </w:pPr>
      <w:r>
        <w:t>팬 예산 485원은 현금 인출 가능한 로열티와 구분. 보상 조건에 따라 별도 계정 처리.</w:t>
      </w:r>
    </w:p>
    <w:p>
      <w:pPr>
        <w:pStyle w:val="ListBullet"/>
      </w:pPr>
      <w:r>
        <w:t>V1 회수 가능 선급금 1,000원이 존재하면 귀속 1,340원·회수 1,000원·지급 전 잔액 340원으로 기록.</w:t>
      </w:r>
    </w:p>
    <w:p>
      <w:pPr>
        <w:pStyle w:val="ListBullet"/>
      </w:pPr>
      <w:r>
        <w:t>다른 채널의 마스터 순입금에는 해당 채널 정책 적용. 소장 상품의 25%·5%·70%를 자동 재사용하지 않음.</w:t>
      </w:r>
    </w:p>
    <w:p>
      <w:pPr>
        <w:pStyle w:val="Heading1"/>
        <w:pageBreakBefore/>
      </w:pPr>
      <w:r>
        <w:t>12 정산 원장과 현금 흐름</w:t>
      </w:r>
    </w:p>
    <w:p>
      <w:pPr>
        <w:pStyle w:val="Heading2"/>
      </w:pPr>
      <w:r>
        <w:t>12.1 이벤트 입력</w:t>
      </w:r>
    </w:p>
    <w:p>
      <w:pPr>
        <w:spacing w:after="0" w:line="240" w:lineRule="auto"/>
      </w:pPr>
      <w:r>
        <w:rPr>
          <w:rFonts w:ascii="Menlo" w:hAnsi="Menlo"/>
          <w:sz w:val="17"/>
        </w:rPr>
        <w:t>RevenueEvent {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tenant_id, source_system, source_event_id, source_revision,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event_kind, occurred_at, received_at, usage_period,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combination_id?, recording_id?, release_id?,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channel, medium, use_type, territory, currency,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gross_amount?, reported_net_amount?, deductions[],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basis_profile, included_right_types[], report_line_id,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payment_reference?, raw_hash, original_event_id?</w:t>
      </w:r>
    </w:p>
    <w:p>
      <w:pPr>
        <w:spacing w:after="0" w:line="240" w:lineRule="auto"/>
      </w:pPr>
      <w:r>
        <w:rPr>
          <w:rFonts w:ascii="Menlo" w:hAnsi="Menlo"/>
          <w:sz w:val="17"/>
        </w:rPr>
        <w:t>}</w:t>
      </w:r>
    </w:p>
    <w:p>
      <w:pPr>
        <w:pStyle w:val="ListBullet"/>
      </w:pPr>
      <w:r>
        <w:t>수신 멱등 키: tenant·source_system·source_event_id·source_revision. 동일 키의 다른 payload는 충돌 격리.</w:t>
      </w:r>
    </w:p>
    <w:p>
      <w:pPr>
        <w:pStyle w:val="ListBullet"/>
      </w:pPr>
      <w:r>
        <w:t>보고서 개정은 supersedes 관계로 연결. 원본 삭제 금지.</w:t>
      </w:r>
    </w:p>
    <w:p>
      <w:pPr>
        <w:pStyle w:val="ListBullet"/>
      </w:pPr>
      <w:r>
        <w:t>공제 항목에 종류·근거·이미 차감 여부 저장. 유통사 순입금에서 동일 비용 재차감 금지.</w:t>
      </w:r>
    </w:p>
    <w:p>
      <w:pPr>
        <w:pStyle w:val="ListBullet"/>
      </w:pPr>
      <w:r>
        <w:t>일자·조합별 배정 근거가 없는 집계 보고를 임의 분할하지 않음.</w:t>
      </w:r>
    </w:p>
    <w:p>
      <w:pPr>
        <w:pStyle w:val="Heading2"/>
      </w:pPr>
      <w:r>
        <w:t>12.2 상태와 금액 보존</w:t>
      </w:r>
    </w:p>
    <w:p>
      <w:pPr>
        <w:pStyle w:val="ListBullet"/>
      </w:pPr>
      <w:r>
        <w:t>수익 처리: 수신 → 정규화 → 매칭 → 예상 계산 → 대사 → 승인 → 지급가능 → 지급완료.</w:t>
      </w:r>
    </w:p>
    <w:p>
      <w:pPr>
        <w:pStyle w:val="ListBullet"/>
      </w:pPr>
      <w:r>
        <w:t>보류 상태: 미매칭·권리 분쟁·부정 의심·지급 정보 미확인. 금액과 사유·해제 근거 저장.</w:t>
      </w:r>
    </w:p>
    <w:p>
      <w:pPr>
        <w:pStyle w:val="ListBullet"/>
      </w:pPr>
      <w:r>
        <w:t>복식 원장: 동일 통화의 차변 합계 = 대변 합계.</w:t>
      </w:r>
    </w:p>
    <w:p>
      <w:pPr>
        <w:pStyle w:val="ListBullet"/>
      </w:pPr>
      <w:r>
        <w:t>기준액 = 플랫폼 귀속 + 팬 예산 + 권리자 귀속 + 미배분 보류.</w:t>
      </w:r>
    </w:p>
    <w:p>
      <w:pPr>
        <w:pStyle w:val="ListBullet"/>
      </w:pPr>
      <w:r>
        <w:t>권리자 귀속 = 미지급 잔액 + 회수액 + 지급 공제 + 지급완료액. 조정액은 동일 기준 기간에 포함.</w:t>
      </w:r>
    </w:p>
    <w:p>
      <w:pPr>
        <w:pStyle w:val="ListBullet"/>
      </w:pPr>
      <w:r>
        <w:t>예상액과 확정 부채 분리. 보고 수신과 실제 입금 확인을 분리해 지급가능 조건 적용.</w:t>
      </w:r>
    </w:p>
    <w:p>
      <w:pPr>
        <w:pStyle w:val="Heading2"/>
      </w:pPr>
      <w:r>
        <w:t>12.3 환불과 지급</w:t>
      </w:r>
    </w:p>
    <w:p>
      <w:pPr>
        <w:pStyle w:val="ListBullet"/>
      </w:pPr>
      <w:r>
        <w:t>전액 환불: 원 거래의 실제 확정 라인을 역분개. 현재 정책으로 원 배분 재산정 금지.</w:t>
      </w:r>
    </w:p>
    <w:p>
      <w:pPr>
        <w:pStyle w:val="ListBullet"/>
      </w:pPr>
      <w:r>
        <w:t>부분 환불: 누적 환불 상한 검사. 마지막 환불은 원 라인의 남은 금액을 정확히 상쇄.</w:t>
      </w:r>
    </w:p>
    <w:p>
      <w:pPr>
        <w:pStyle w:val="ListBullet"/>
      </w:pPr>
      <w:r>
        <w:t>이미 지급된 금액은 계약상 회수·상계 가능 범위에서 처리.</w:t>
      </w:r>
    </w:p>
    <w:p>
      <w:pPr>
        <w:pStyle w:val="ListBullet"/>
      </w:pPr>
      <w:r>
        <w:t>지급 지시와 PSP idempotency key 연결. 응답 유실 시 상태 조회·대사 후 재시도.</w:t>
      </w:r>
    </w:p>
    <w:p>
      <w:pPr>
        <w:pStyle w:val="ListBullet"/>
      </w:pPr>
      <w:r>
        <w:t>귀속·보류·회수·송금 결과를 서로 다른 라인 유형으로 보존.</w:t>
      </w:r>
    </w:p>
    <w:p>
      <w:pPr>
        <w:pStyle w:val="Heading1"/>
        <w:pageBreakBefore/>
      </w:pPr>
      <w:r>
        <w:t>13 대량 조합과 실시간 계산 구조</w:t>
      </w:r>
    </w:p>
    <w:p>
      <w:pPr>
        <w:pStyle w:val="Heading2"/>
      </w:pPr>
      <w:r>
        <w:t>13.1 공유 그래프와 희소 벡터</w:t>
      </w:r>
    </w:p>
    <w:p>
      <w:pPr>
        <w:pStyle w:val="ListBullet"/>
      </w:pPr>
      <w:r>
        <w:t>8개 슬롯 × 슬롯당 6개 선택지의 후보 수: 6⁸ = 1,679,616개. 후보 전체의 오디오·권리 경로 선생성 금지.</w:t>
      </w:r>
    </w:p>
    <w:p>
      <w:pPr>
        <w:pStyle w:val="ListBullet"/>
      </w:pPr>
      <w:r>
        <w:t>저장·발행한 조합만 manifest 생성. 공통 악곡·녹음·스템·계약은 공유 노드로 유지.</w:t>
      </w:r>
    </w:p>
    <w:p>
      <w:pPr>
        <w:pStyle w:val="ListBullet"/>
      </w:pPr>
      <w:r>
        <w:t>100,000개 조합 × 평균 20개 StemUse = 2,000,000개 사용 참조 기준으로 저장·조회 용량 산정.</w:t>
      </w:r>
    </w:p>
    <w:p>
      <w:pPr>
        <w:pStyle w:val="ListBullet"/>
      </w:pPr>
      <w:r>
        <w:t>계약상 사용량 배분 역할에 대해 스템→수익자 희소 행렬 M 사전 계산. 조합 사용 벡터 u와 v=uM 계산.</w:t>
      </w:r>
    </w:p>
    <w:p>
      <w:pPr>
        <w:pStyle w:val="ListBullet"/>
      </w:pPr>
      <w:r>
        <w:t>악곡 고정 지분은 별도 벡터 사용. 모든 역할에 시간 가중 경로 곱을 일괄 적용하지 않음.</w:t>
      </w:r>
    </w:p>
    <w:p>
      <w:pPr>
        <w:pStyle w:val="ListBullet"/>
      </w:pPr>
      <w:r>
        <w:t>경로별 memoization과 contribution_id로 중복 계산 제거. 무제한 전체 경로 열거 금지.</w:t>
      </w:r>
    </w:p>
    <w:p>
      <w:pPr>
        <w:pStyle w:val="Heading2"/>
      </w:pPr>
      <w:r>
        <w:t>13.2 식별자와 캐시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4649"/>
        <w:gridCol w:w="2494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키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포함 데이터</w:t>
            </w:r>
          </w:p>
        </w:tc>
        <w:tc>
          <w:tcPr>
            <w:tcW w:type="dxa" w:w="249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용도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content_fingerprint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스템 버전·사용 구간·순서·변형·믹스·렌더 버전</w:t>
            </w:r>
          </w:p>
        </w:tc>
        <w:tc>
          <w:tcPr>
            <w:tcW w:type="dxa" w:w="249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음원 구성 동일성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issuance_identity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팩·캠페인·팬 등 상품 유일성 범위</w:t>
            </w:r>
          </w:p>
        </w:tc>
        <w:tc>
          <w:tcPr>
            <w:tcW w:type="dxa" w:w="249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발행 중복·예약 관리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settlement_signature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그래프·정책·문맥·기여 벡터·수령 조건</w:t>
            </w:r>
          </w:p>
        </w:tc>
        <w:tc>
          <w:tcPr>
            <w:tcW w:type="dxa" w:w="2494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동일 실행 계획 공유</w:t>
            </w:r>
          </w:p>
        </w:tc>
      </w:tr>
    </w:tbl>
    <w:p>
      <w:pPr>
        <w:spacing w:after="0"/>
      </w:pPr>
    </w:p>
    <w:p>
      <w:pPr>
        <w:pStyle w:val="ListBullet"/>
      </w:pPr>
      <w:r>
        <w:t>동일 정산 signature는 계획 캐시만 공유. 서로 다른 음원·매출·지급 라인 병합 금지.</w:t>
      </w:r>
    </w:p>
    <w:p>
      <w:pPr>
        <w:pStyle w:val="ListBullet"/>
      </w:pPr>
      <w:r>
        <w:t>캐시 키: tenant·graph_digest·policy_digest·engine_version·context·revocation_epoch.</w:t>
      </w:r>
    </w:p>
    <w:p>
      <w:pPr>
        <w:pStyle w:val="ListBullet"/>
      </w:pPr>
      <w:r>
        <w:t>권리 변경은 역방향 인덱스로 영향 조합만 무효화. 불변 스냅샷은 유지.</w:t>
      </w:r>
    </w:p>
    <w:p>
      <w:pPr>
        <w:pStyle w:val="Heading2"/>
      </w:pPr>
      <w:r>
        <w:t>13.3 처리 목표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7143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7143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설계 목표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권리 게이트</w:t>
            </w:r>
          </w:p>
        </w:tc>
        <w:tc>
          <w:tcPr>
            <w:tcW w:type="dxa" w:w="7143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캐시 적중 p95 100ms 이내 / 미적중 p95 500ms 이내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내부 예상액 반영</w:t>
            </w:r>
          </w:p>
        </w:tc>
        <w:tc>
          <w:tcPr>
            <w:tcW w:type="dxa" w:w="7143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이벤트 수신 후 p95 5초 이내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대량 수익 처리</w:t>
            </w:r>
          </w:p>
        </w:tc>
        <w:tc>
          <w:tcPr>
            <w:tcW w:type="dxa" w:w="7143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1일 1,000만 이벤트를 정산 그룹 단위로 집계·처리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철회 전파</w:t>
            </w:r>
          </w:p>
        </w:tc>
        <w:tc>
          <w:tcPr>
            <w:tcW w:type="dxa" w:w="7143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내부 민감 실행 차단 p95 5초 이내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금전 정합</w:t>
            </w:r>
          </w:p>
        </w:tc>
        <w:tc>
          <w:tcPr>
            <w:tcW w:type="dxa" w:w="7143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보존식 불일치와 중복 지급 0건</w:t>
            </w:r>
          </w:p>
        </w:tc>
      </w:tr>
    </w:tbl>
    <w:p>
      <w:pPr>
        <w:spacing w:after="0"/>
      </w:pPr>
    </w:p>
    <w:p>
      <w:pPr>
        <w:pStyle w:val="ListBullet"/>
      </w:pPr>
      <w:r>
        <w:t>성능 수치는 설계 목표. 오디오 렌더 시간과 외부 채널 반영 시간은 별도 관리.</w:t>
      </w:r>
    </w:p>
    <w:p>
      <w:pPr>
        <w:pStyle w:val="ListBullet"/>
      </w:pPr>
      <w:r>
        <w:t>원본 이벤트와 정산 그룹 간 매핑을 보존하여 집계 후에도 개별 근거 추적 가능.</w:t>
      </w:r>
    </w:p>
    <w:p>
      <w:pPr>
        <w:pStyle w:val="Heading1"/>
        <w:pageBreakBefore/>
      </w:pPr>
      <w:r>
        <w:t>14 다중 채널과 외부 연동</w:t>
      </w:r>
    </w:p>
    <w:p>
      <w:pPr>
        <w:pStyle w:val="Heading2"/>
      </w:pPr>
      <w:r>
        <w:t>14.1 이용 프로필</w:t>
      </w:r>
    </w:p>
    <w:p>
      <w:pPr>
        <w:spacing w:after="0" w:line="240" w:lineRule="auto"/>
      </w:pPr>
      <w:r>
        <w:rPr>
          <w:rFonts w:ascii="Menlo" w:hAnsi="Menlo"/>
          <w:sz w:val="17"/>
        </w:rPr>
        <w:t>ExploitationProfile {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profile_id, channel_id, medium, use_type,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territory, monetization, required_right_types[],</w:t>
      </w:r>
    </w:p>
    <w:p>
      <w:pPr>
        <w:spacing w:after="0" w:line="240" w:lineRule="auto"/>
      </w:pPr>
      <w:r>
        <w:rPr>
          <w:rFonts w:ascii="Menlo" w:hAnsi="Menlo"/>
          <w:sz w:val="17"/>
        </w:rPr>
        <w:t xml:space="preserve">  delivery_requirements, reporting_schema_version</w:t>
      </w:r>
    </w:p>
    <w:p>
      <w:pPr>
        <w:spacing w:after="0" w:line="240" w:lineRule="auto"/>
      </w:pPr>
      <w:r>
        <w:rPr>
          <w:rFonts w:ascii="Menlo" w:hAnsi="Menlo"/>
          <w:sz w:val="17"/>
        </w:rPr>
        <w:t>}</w:t>
      </w:r>
    </w:p>
    <w:p>
      <w:pPr>
        <w:pStyle w:val="ListBullet"/>
      </w:pPr>
      <w:r>
        <w:t>한 팩에 여러 이용 프로필 연결. 플랫폼 내부 배포·외부 음원 유통·영상·광고·다운로드 조건 분리.</w:t>
      </w:r>
    </w:p>
    <w:p>
      <w:pPr>
        <w:pStyle w:val="ListBullet"/>
      </w:pPr>
      <w:r>
        <w:t>조합 발행 승인과 외부 Release 승인 분리. 채널별 필수 권리·메타데이터·표기 조건 확인.</w:t>
      </w:r>
    </w:p>
    <w:p>
      <w:pPr>
        <w:pStyle w:val="ListBullet"/>
      </w:pPr>
      <w:r>
        <w:t>AI 음성이 포함되면 모델·목소리 이용 동의와 채널별 표시 조건을 추가 입력.</w:t>
      </w:r>
    </w:p>
    <w:p>
      <w:pPr>
        <w:pStyle w:val="ListBullet"/>
      </w:pPr>
      <w:r>
        <w:t>조합 ID·파일 해시·녹음 식별자·유통 트랙 ID를 별도 관리. 인코딩 변경과 창작적으로 다른 녹음을 구분.</w:t>
      </w:r>
    </w:p>
    <w:p>
      <w:pPr>
        <w:pStyle w:val="Heading2"/>
      </w:pPr>
      <w:r>
        <w:t>14.2 어댑터와 식별자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3798"/>
        <w:gridCol w:w="3685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연동</w:t>
            </w:r>
          </w:p>
        </w:tc>
        <w:tc>
          <w:tcPr>
            <w:tcW w:type="dxa" w:w="379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교환 대상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DBE5EE"/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내부 연결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DDEX RIN</w:t>
            </w:r>
          </w:p>
        </w:tc>
        <w:tc>
          <w:tcPr>
            <w:tcW w:type="dxa" w:w="379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녹음·구성요소·참여자 메타데이터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Recording·Stem·Performance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DDEX ERN</w:t>
            </w:r>
          </w:p>
        </w:tc>
        <w:tc>
          <w:tcPr>
            <w:tcW w:type="dxa" w:w="379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발매·이용 조건·변경·삭제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Release·ExploitationProfile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DDEX DSR</w:t>
            </w:r>
          </w:p>
        </w:tc>
        <w:tc>
          <w:tcPr>
            <w:tcW w:type="dxa" w:w="379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판매·이용 보고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RevenueEvent·정산 그룹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유통사 CSV 및 API</w:t>
            </w:r>
          </w:p>
        </w:tc>
        <w:tc>
          <w:tcPr>
            <w:tcW w:type="dxa" w:w="379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상대방 포맷의 수익·입금 보고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버전별 ingest·매칭·대사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결제·지급 API</w:t>
            </w:r>
          </w:p>
        </w:tc>
        <w:tc>
          <w:tcPr>
            <w:tcW w:type="dxa" w:w="379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결제·환불·입금·송금 결과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FFFFF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거래 원장·지급 지시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외부 식별자</w:t>
            </w:r>
          </w:p>
        </w:tc>
        <w:tc>
          <w:tcPr>
            <w:tcW w:type="dxa" w:w="3798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ISRC·ISWC·채널별 ID·자체 namespace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fill="F6F8FA"/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내부 자산 ID의 별도 매핑</w:t>
            </w:r>
          </w:p>
        </w:tc>
      </w:tr>
    </w:tbl>
    <w:p>
      <w:pPr>
        <w:spacing w:after="0"/>
      </w:pPr>
    </w:p>
    <w:p>
      <w:pPr>
        <w:pStyle w:val="Heading2"/>
      </w:pPr>
      <w:r>
        <w:t>14.3 정산 보고와 유통 상태</w:t>
      </w:r>
    </w:p>
    <w:p>
      <w:pPr>
        <w:pStyle w:val="ListBullet"/>
      </w:pPr>
      <w:r>
        <w:t>collection_route: DIRECT·DISTRIBUTOR. 수익에 포함된 right_type과 계약 ID를 필수 기록.</w:t>
      </w:r>
    </w:p>
    <w:p>
      <w:pPr>
        <w:pStyle w:val="ListBullet"/>
      </w:pPr>
      <w:r>
        <w:t>같은 이용의 복수 보고는 출처·기간·권리 종류·계약·정산 참조로 대사. 독립 수익과 중복 보고 구분.</w:t>
      </w:r>
    </w:p>
    <w:p>
      <w:pPr>
        <w:pStyle w:val="ListBullet"/>
      </w:pPr>
      <w:r>
        <w:t>외부 보고 수신 → 스키마 검증 → 자산 매칭 → 금액·공제 대사 → 승인 입력으로 변환.</w:t>
      </w:r>
    </w:p>
    <w:p>
      <w:pPr>
        <w:pStyle w:val="ListBullet"/>
      </w:pPr>
      <w:r>
        <w:t>형식 오류·미매칭 보고는 reject 또는 holding 큐에 보존. 원본 문서 해시와 보고행 ID 유지.</w:t>
      </w:r>
    </w:p>
    <w:p>
      <w:pPr>
        <w:pStyle w:val="ListBullet"/>
      </w:pPr>
      <w:r>
        <w:t>Release 상태: 준비 → 제출 → 승인·반려 → 서비스 중 → 삭제 요청 → 삭제 반영.</w:t>
      </w:r>
    </w:p>
    <w:p>
      <w:pPr>
        <w:pStyle w:val="ListBullet"/>
      </w:pPr>
      <w:r>
        <w:t>표준 메시지의 형식 통과를 권리 확보나 실제 유통 승인으로 간주하지 않음.</w:t>
      </w:r>
    </w:p>
    <w:p>
      <w:pPr>
        <w:pStyle w:val="ListBullet"/>
      </w:pPr>
      <w:r>
        <w:t>외부 시스템의 보고 시차와 지급 시차를 유지하며 내부 예상액·확정액에 각각 반영.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 w:cs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269" w:lineRule="auto"/>
      <w:outlineLvl w:val="0"/>
    </w:pPr>
    <w:rPr>
      <w:rFonts w:ascii="Arial Unicode MS" w:hAnsi="Arial Unicode MS" w:eastAsia="Arial Unicode MS" w:cs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9" w:lineRule="auto"/>
      <w:outlineLvl w:val="1"/>
    </w:pPr>
    <w:rPr>
      <w:rFonts w:ascii="Arial Unicode MS" w:hAnsi="Arial Unicode MS" w:eastAsia="Arial Unicode MS" w:cs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69" w:lineRule="auto"/>
      <w:outlineLvl w:val="2"/>
    </w:pPr>
    <w:rPr>
      <w:rFonts w:ascii="Arial Unicode MS" w:hAnsi="Arial Unicode MS" w:eastAsia="Arial Unicode MS" w:cs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9" w:lineRule="auto"/>
      <w:contextualSpacing/>
    </w:pPr>
    <w:rPr>
      <w:rFonts w:ascii="Arial Unicode MS" w:hAnsi="Arial Unicode MS" w:eastAsia="Arial Unicode MS" w:cs="Arial Unicode M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69" w:lineRule="auto"/>
    </w:pPr>
    <w:rPr>
      <w:rFonts w:ascii="Arial Unicode MS" w:hAnsi="Arial Unicode MS" w:eastAsia="Arial Unicode MS" w:cs="Arial Unicode MS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 w:cs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 w:cs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 w:cs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 w:cs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 w:cs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 w:cs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 w:cs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 w:cs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9" w:lineRule="auto"/>
      <w:ind w:left="227" w:hanging="125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 w:cs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 w:cs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 w:cs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 w:cs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 w:cs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 w:cs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 w:cs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 w:cs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 w:cs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 w:cs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 w:cs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 w:cs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 w:cs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 w:cs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 w:cs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보컬조합 권리관리 및 정산 인프라 구조 설계</dc:title>
  <dc:subject>Stem-to-Work 그래프 및 정산 DSL 베이스라인 1.0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