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ind w:left="0" w:firstLine="0"/>
      </w:pPr>
      <w:r>
        <w:rPr>
          <w:rtl w:val="0"/>
          <w:lang w:val="zh-CN" w:eastAsia="zh-CN"/>
        </w:rPr>
        <w:t>1. Make right nodes as baskets and left nodes as items.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For example: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{a, [1, 2, 3]}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{b, [1, 2]}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{c, [1, 2, 3]}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a, b, c are baskets and 1, 2, 3 are items.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2. If a itemset of size s appears t times (that is, in t baskets), they could form a bipartite subgraph. Use Apriori algorithm to find frequent itemsets.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Eg:</w:t>
      </w: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[1, 2] are a itemset of size 2 appears in 3 baskets (a, b, c).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zh-CN" w:eastAsia="zh-CN"/>
        </w:rPr>
        <w:t>3. Find the corresponding baskets. (There maybe more than t baskets, all of its permutation with size s can be matched with a frequent itemset to form a subgraph)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360" w:firstLine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firstLine="72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sz w:val="28"/>
        <w:szCs w:val="28"/>
        <w:rtl w:val="0"/>
        <w:lang w:val="zh-CN" w:eastAsia="zh-CN"/>
      </w:rPr>
      <w:t>Description of Algorithm - Changlin Zhang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