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造价材料审计报告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体育馆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项目地点</w:t>
            </w:r>
          </w:p>
        </w:tc>
        <w:tc>
          <w:tcPr>
            <w:tcW w:type="dxa" w:w="4320"/>
          </w:tcPr>
          <w:p>
            <w:r>
              <w:t>余杭</w:t>
            </w:r>
          </w:p>
        </w:tc>
      </w:tr>
      <w:tr>
        <w:tc>
          <w:tcPr>
            <w:tcW w:type="dxa" w:w="4320"/>
          </w:tcPr>
          <w:p>
            <w:r>
              <w:t>业主单位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承包单位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报告日期</w:t>
            </w:r>
          </w:p>
        </w:tc>
        <w:tc>
          <w:tcPr>
            <w:tcW w:type="dxa" w:w="4320"/>
          </w:tcPr>
          <w:p>
            <w:r>
              <w:t>2025年09月01日</w:t>
            </w:r>
          </w:p>
        </w:tc>
      </w:tr>
    </w:tbl>
    <w:p>
      <w:r>
        <w:br w:type="page"/>
      </w:r>
    </w:p>
    <w:p>
      <w:pPr>
        <w:pStyle w:val="Heading1"/>
      </w:pPr>
      <w:r>
        <w:t>执行摘要</w:t>
      </w:r>
    </w:p>
    <w:p>
      <w:r>
        <w:t>本次审计共审查了11项材料，其中0项完成了价格分析，</w:t>
        <w:br/>
        <w:t>分析覆盖率为0.0%。</w:t>
        <w:br/>
        <w:br/>
        <w:t>通过AI智能分析和市场价格对比，发现0项材料存在价格异常，</w:t>
        <w:br/>
        <w:t>问题发现率为0.0%。其中0项材料的价格被判定为不合理。</w:t>
        <w:br/>
        <w:br/>
        <w:t>平均价格偏差为0.00%，预估可节约成本0.00元。</w:t>
        <w:br/>
        <w:br/>
        <w:t>建议对问题材料进行重点关注和价格核实，确保项目成本控制在合理范围内。</w:t>
      </w:r>
    </w:p>
    <w:p>
      <w:r>
        <w:br w:type="page"/>
      </w:r>
    </w:p>
    <w:p>
      <w:pPr>
        <w:pStyle w:val="Heading1"/>
      </w:pPr>
      <w:r>
        <w:t>项目概况</w:t>
      </w:r>
    </w:p>
    <w:p>
      <w:pPr>
        <w:pStyle w:val="Heading2"/>
      </w:pPr>
      <w:r>
        <w:t>基本信息</w:t>
      </w:r>
    </w:p>
    <w:p>
      <w:r>
        <w:t>项目名称：体育馆</w:t>
        <w:br/>
        <w:t>项目编号：未提供</w:t>
        <w:br/>
        <w:t>项目地点：余杭</w:t>
        <w:br/>
        <w:t>业主单位：未提供</w:t>
        <w:br/>
        <w:t>承包单位：未提供</w:t>
        <w:br/>
        <w:t>项目状态：processing</w:t>
        <w:br/>
        <w:t>创建时间：2025年08月30日</w:t>
      </w:r>
    </w:p>
    <w:p>
      <w:pPr>
        <w:pStyle w:val="Heading2"/>
      </w:pPr>
      <w:r>
        <w:t>材料统计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材料总数</w:t>
            </w:r>
          </w:p>
        </w:tc>
        <w:tc>
          <w:tcPr>
            <w:tcW w:type="dxa" w:w="4320"/>
          </w:tcPr>
          <w:p>
            <w:r>
              <w:t>11项</w:t>
            </w:r>
          </w:p>
        </w:tc>
      </w:tr>
      <w:tr>
        <w:tc>
          <w:tcPr>
            <w:tcW w:type="dxa" w:w="4320"/>
          </w:tcPr>
          <w:p>
            <w:r>
              <w:t>已分析材料</w:t>
            </w:r>
          </w:p>
        </w:tc>
        <w:tc>
          <w:tcPr>
            <w:tcW w:type="dxa" w:w="4320"/>
          </w:tcPr>
          <w:p>
            <w:r>
              <w:t>0项</w:t>
            </w:r>
          </w:p>
        </w:tc>
      </w:tr>
      <w:tr>
        <w:tc>
          <w:tcPr>
            <w:tcW w:type="dxa" w:w="4320"/>
          </w:tcPr>
          <w:p>
            <w:r>
              <w:t>问题材料</w:t>
            </w:r>
          </w:p>
        </w:tc>
        <w:tc>
          <w:tcPr>
            <w:tcW w:type="dxa" w:w="4320"/>
          </w:tcPr>
          <w:p>
            <w:r>
              <w:t>0项</w:t>
            </w:r>
          </w:p>
        </w:tc>
      </w:tr>
      <w:tr>
        <w:tc>
          <w:tcPr>
            <w:tcW w:type="dxa" w:w="4320"/>
          </w:tcPr>
          <w:p>
            <w:r>
              <w:t>分析覆盖率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问题发现率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pPr>
        <w:pStyle w:val="Heading1"/>
      </w:pPr>
      <w:r>
        <w:t>分析结果</w:t>
      </w:r>
    </w:p>
    <w:p>
      <w:pPr>
        <w:pStyle w:val="Heading2"/>
      </w:pPr>
      <w:r>
        <w:t>风险等级分布</w:t>
      </w:r>
    </w:p>
    <w:p>
      <w:pPr>
        <w:pStyle w:val="Heading2"/>
      </w:pPr>
      <w:r>
        <w:t>价格分析汇总</w:t>
      </w:r>
    </w:p>
    <w:p>
      <w:r>
        <w:t>• 平均价格偏差：0.00%</w:t>
        <w:br/>
        <w:t>• 不合理价格材料：0项</w:t>
        <w:br/>
        <w:t>• 预估节约金额：0.00元</w:t>
      </w:r>
    </w:p>
    <w:p>
      <w:pPr>
        <w:pStyle w:val="Heading1"/>
      </w:pPr>
      <w:r>
        <w:t>问题材料详情</w:t>
      </w:r>
    </w:p>
    <w:p>
      <w:r>
        <w:t>未发现问题材料。</w:t>
      </w:r>
    </w:p>
    <w:p>
      <w:pPr>
        <w:pStyle w:val="Heading1"/>
      </w:pPr>
      <w:r>
        <w:t>建议措施</w:t>
      </w:r>
    </w:p>
    <w:p>
      <w:r>
        <w:t>1. 定期更新基准材料价格数据库，确保价格信息的时效性。</w:t>
      </w:r>
    </w:p>
    <w:p>
      <w:r>
        <w:t>2. 建立材料价格预警机制，及时发现价格异常。</w:t>
      </w:r>
    </w:p>
    <w:p>
      <w:r>
        <w:t>3. 加强与供应商的沟通，了解价格变动原因。</w:t>
      </w:r>
    </w:p>
    <w:p>
      <w:r>
        <w:t>4. 对高风险材料进行重点监控和审核。</w:t>
      </w:r>
    </w:p>
    <w:p>
      <w:pPr>
        <w:pStyle w:val="Heading1"/>
      </w:pPr>
      <w:r>
        <w:t>附录</w:t>
      </w:r>
    </w:p>
    <w:p>
      <w:pPr>
        <w:pStyle w:val="Heading2"/>
      </w:pPr>
      <w:r>
        <w:t>附录A：技术说明</w:t>
      </w:r>
    </w:p>
    <w:p>
      <w:r>
        <w:t>本报告使用人工智能技术进行材料价格分析，主要技术特点如下：</w:t>
        <w:br/>
        <w:br/>
        <w:t>1. 多AI服务集成：支持OpenAI GPT-4、通义千问等多个AI服务。</w:t>
        <w:br/>
        <w:t>2. 智能匹配算法：基于材料名称、规格、单位等多维度进行相似度计算。</w:t>
        <w:br/>
        <w:t>3. 价格合理性分析：结合统计学方法和AI预测进行综合判断。</w:t>
        <w:br/>
        <w:t>4. 故障转移机制：确保分析服务的高可用性。</w:t>
        <w:br/>
        <w:br/>
        <w:t>分析结果仅供参考，最终决策请结合实际情况和专业判断。</w:t>
      </w:r>
    </w:p>
    <w:p>
      <w:pPr>
        <w:pStyle w:val="Heading2"/>
      </w:pPr>
      <w:r>
        <w:t>附录B：详细统计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